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B0866">
      <w:pPr>
        <w:snapToGrid w:val="0"/>
        <w:spacing w:line="640" w:lineRule="exact"/>
        <w:jc w:val="center"/>
        <w:textAlignment w:val="baseline"/>
        <w:rPr>
          <w:rFonts w:ascii="黑体" w:hAnsi="宋体" w:eastAsia="黑体"/>
          <w:b/>
          <w:sz w:val="44"/>
          <w:szCs w:val="44"/>
        </w:rPr>
      </w:pPr>
    </w:p>
    <w:p w14:paraId="7F396142">
      <w:pPr>
        <w:snapToGrid w:val="0"/>
        <w:spacing w:after="312" w:line="640" w:lineRule="exact"/>
        <w:jc w:val="center"/>
        <w:textAlignment w:val="baseline"/>
        <w:rPr>
          <w:rFonts w:ascii="黑体" w:hAnsi="宋体" w:eastAsia="黑体"/>
          <w:b w:val="0"/>
          <w:bCs/>
          <w:sz w:val="44"/>
          <w:szCs w:val="44"/>
        </w:rPr>
      </w:pPr>
      <w:r>
        <w:rPr>
          <w:rFonts w:hint="eastAsia" w:ascii="黑体" w:hAnsi="宋体" w:eastAsia="黑体"/>
          <w:b w:val="0"/>
          <w:bCs/>
          <w:sz w:val="44"/>
          <w:szCs w:val="44"/>
        </w:rPr>
        <w:t>竞 买 须 知</w:t>
      </w:r>
    </w:p>
    <w:p w14:paraId="62D49BCF">
      <w:pPr>
        <w:snapToGrid w:val="0"/>
        <w:spacing w:line="400" w:lineRule="exact"/>
        <w:jc w:val="center"/>
        <w:textAlignment w:val="baseline"/>
        <w:rPr>
          <w:b w:val="0"/>
          <w:bCs/>
          <w:sz w:val="24"/>
        </w:rPr>
      </w:pPr>
      <w:r>
        <w:rPr>
          <w:rFonts w:hint="eastAsia"/>
          <w:b w:val="0"/>
          <w:bCs/>
          <w:sz w:val="24"/>
        </w:rPr>
        <w:t>第一章  拍卖标的及瑕疵说明</w:t>
      </w:r>
    </w:p>
    <w:p w14:paraId="5BEA67AE">
      <w:pPr>
        <w:snapToGrid w:val="0"/>
        <w:spacing w:line="400" w:lineRule="exact"/>
        <w:ind w:firstLine="480" w:firstLineChars="200"/>
        <w:jc w:val="left"/>
        <w:textAlignment w:val="baseline"/>
        <w:rPr>
          <w:b w:val="0"/>
          <w:bCs/>
          <w:sz w:val="24"/>
        </w:rPr>
      </w:pPr>
      <w:r>
        <w:rPr>
          <w:rFonts w:hint="eastAsia"/>
          <w:b w:val="0"/>
          <w:bCs/>
          <w:sz w:val="24"/>
        </w:rPr>
        <w:t>第一条  拍卖标的：</w:t>
      </w:r>
    </w:p>
    <w:p w14:paraId="5A0781BF">
      <w:pPr>
        <w:snapToGrid w:val="0"/>
        <w:spacing w:line="400" w:lineRule="exact"/>
        <w:ind w:firstLine="480" w:firstLineChars="200"/>
        <w:jc w:val="left"/>
        <w:textAlignment w:val="baseline"/>
        <w:rPr>
          <w:b w:val="0"/>
          <w:bCs/>
          <w:sz w:val="24"/>
        </w:rPr>
      </w:pPr>
      <w:r>
        <w:rPr>
          <w:rFonts w:hint="eastAsia"/>
          <w:b w:val="0"/>
          <w:bCs/>
          <w:sz w:val="24"/>
        </w:rPr>
        <w:t>设备</w:t>
      </w:r>
      <w:r>
        <w:rPr>
          <w:rFonts w:hint="eastAsia"/>
          <w:b w:val="0"/>
          <w:bCs/>
          <w:sz w:val="24"/>
          <w:lang w:eastAsia="zh-Hans"/>
        </w:rPr>
        <w:t>一批，</w:t>
      </w:r>
      <w:r>
        <w:rPr>
          <w:rFonts w:hint="eastAsia"/>
          <w:b w:val="0"/>
          <w:bCs/>
          <w:sz w:val="24"/>
          <w:lang w:val="en-US" w:eastAsia="zh-Hans"/>
        </w:rPr>
        <w:t>包括：自动智能压字机、号牌智能烫印机、环保型自动化擦字机、压字机配套模具、立式空调等12项20台套</w:t>
      </w:r>
      <w:r>
        <w:rPr>
          <w:rFonts w:hint="eastAsia"/>
          <w:b w:val="0"/>
          <w:bCs/>
          <w:sz w:val="24"/>
          <w:lang w:val="en-US" w:eastAsia="zh-CN"/>
        </w:rPr>
        <w:t>，整体拍卖，</w:t>
      </w:r>
      <w:r>
        <w:rPr>
          <w:rFonts w:hint="eastAsia"/>
          <w:b w:val="0"/>
          <w:bCs/>
          <w:sz w:val="24"/>
          <w:lang w:eastAsia="zh-Hans"/>
        </w:rPr>
        <w:t>起拍价：</w:t>
      </w:r>
      <w:r>
        <w:rPr>
          <w:b w:val="0"/>
          <w:bCs/>
          <w:sz w:val="24"/>
          <w:lang w:eastAsia="zh-Hans"/>
        </w:rPr>
        <w:t>247,602</w:t>
      </w:r>
      <w:r>
        <w:rPr>
          <w:rFonts w:hint="eastAsia"/>
          <w:b w:val="0"/>
          <w:bCs/>
          <w:sz w:val="24"/>
        </w:rPr>
        <w:t>元</w:t>
      </w:r>
      <w:r>
        <w:rPr>
          <w:rFonts w:hint="eastAsia"/>
          <w:b w:val="0"/>
          <w:bCs/>
          <w:sz w:val="24"/>
          <w:lang w:eastAsia="zh-CN"/>
        </w:rPr>
        <w:t>，</w:t>
      </w:r>
      <w:r>
        <w:rPr>
          <w:rFonts w:hint="eastAsia"/>
          <w:b w:val="0"/>
          <w:bCs/>
          <w:sz w:val="24"/>
          <w:lang w:val="en-US" w:eastAsia="zh-CN"/>
        </w:rPr>
        <w:t>保证金：5万元</w:t>
      </w:r>
      <w:r>
        <w:rPr>
          <w:rFonts w:hint="eastAsia"/>
          <w:b w:val="0"/>
          <w:bCs/>
          <w:sz w:val="24"/>
        </w:rPr>
        <w:t>。</w:t>
      </w:r>
    </w:p>
    <w:p w14:paraId="78E92E98">
      <w:pPr>
        <w:numPr>
          <w:ilvl w:val="0"/>
          <w:numId w:val="1"/>
        </w:numPr>
        <w:snapToGrid w:val="0"/>
        <w:spacing w:line="400" w:lineRule="exact"/>
        <w:ind w:firstLine="480" w:firstLineChars="200"/>
        <w:jc w:val="left"/>
        <w:textAlignment w:val="baseline"/>
        <w:rPr>
          <w:b w:val="0"/>
          <w:bCs/>
          <w:sz w:val="24"/>
        </w:rPr>
      </w:pPr>
      <w:r>
        <w:rPr>
          <w:rFonts w:hint="eastAsia"/>
          <w:b w:val="0"/>
          <w:bCs/>
          <w:sz w:val="24"/>
        </w:rPr>
        <w:t>瑕疵说明：</w:t>
      </w:r>
    </w:p>
    <w:p w14:paraId="087E5AF2">
      <w:pPr>
        <w:snapToGrid w:val="0"/>
        <w:spacing w:line="400" w:lineRule="exact"/>
        <w:ind w:firstLine="468" w:firstLineChars="195"/>
        <w:jc w:val="left"/>
        <w:textAlignment w:val="baseline"/>
        <w:rPr>
          <w:b w:val="0"/>
          <w:bCs/>
          <w:sz w:val="24"/>
        </w:rPr>
      </w:pPr>
      <w:r>
        <w:rPr>
          <w:rFonts w:hint="eastAsia"/>
          <w:b w:val="0"/>
          <w:bCs/>
          <w:sz w:val="24"/>
        </w:rPr>
        <w:t>1、本次拍卖</w:t>
      </w:r>
      <w:r>
        <w:rPr>
          <w:rFonts w:hint="eastAsia"/>
          <w:b w:val="0"/>
          <w:bCs/>
          <w:sz w:val="24"/>
          <w:lang w:val="en-US" w:eastAsia="zh-CN"/>
        </w:rPr>
        <w:t>设备</w:t>
      </w:r>
      <w:r>
        <w:rPr>
          <w:rFonts w:hint="eastAsia"/>
          <w:b w:val="0"/>
          <w:bCs/>
          <w:sz w:val="24"/>
        </w:rPr>
        <w:t>的数量及质量由买受人以现场勘验为准，无论与评估报告是否有出入，一律按现状拍卖，拍卖人和委托人不承担瑕疵担保责任。</w:t>
      </w:r>
    </w:p>
    <w:p w14:paraId="55A2581C">
      <w:pPr>
        <w:snapToGrid w:val="0"/>
        <w:spacing w:line="400" w:lineRule="exact"/>
        <w:ind w:firstLine="480" w:firstLineChars="200"/>
        <w:jc w:val="left"/>
        <w:textAlignment w:val="baseline"/>
        <w:rPr>
          <w:b w:val="0"/>
          <w:bCs/>
          <w:sz w:val="24"/>
        </w:rPr>
      </w:pPr>
      <w:r>
        <w:rPr>
          <w:rFonts w:hint="eastAsia"/>
          <w:b w:val="0"/>
          <w:bCs/>
          <w:sz w:val="24"/>
        </w:rPr>
        <w:t>2、竞买人对拍卖标的手续、品质、现状、已有瑕疵和将来可能出现的潜在瑕疵，应仔细认真的审查、勘验、调查、了解，慎重确认后方可参与竞买，竞得拍卖标的后，不得以任何借口反悔。</w:t>
      </w:r>
    </w:p>
    <w:p w14:paraId="74CF21D3">
      <w:pPr>
        <w:snapToGrid w:val="0"/>
        <w:spacing w:line="400" w:lineRule="exact"/>
        <w:ind w:firstLine="480" w:firstLineChars="200"/>
        <w:jc w:val="left"/>
        <w:textAlignment w:val="baseline"/>
        <w:rPr>
          <w:b w:val="0"/>
          <w:bCs/>
          <w:sz w:val="24"/>
        </w:rPr>
      </w:pPr>
      <w:r>
        <w:rPr>
          <w:rFonts w:hint="eastAsia"/>
          <w:b w:val="0"/>
          <w:bCs/>
          <w:sz w:val="24"/>
        </w:rPr>
        <w:t>3、委托人和拍卖人对标的的介绍和评价均为参考性意见，不构成对拍卖标的（瑕疵）的任何担保。竞买人参加竞买即表明已完全了解拍卖标的的一切现状及瑕疵，并愿意对自己的竞买行为承担责任。</w:t>
      </w:r>
    </w:p>
    <w:p w14:paraId="593561A1">
      <w:pPr>
        <w:snapToGrid w:val="0"/>
        <w:spacing w:line="400" w:lineRule="exact"/>
        <w:ind w:left="61" w:leftChars="29" w:firstLine="470" w:firstLineChars="196"/>
        <w:jc w:val="left"/>
        <w:rPr>
          <w:b w:val="0"/>
          <w:bCs/>
          <w:color w:val="C00000"/>
          <w:sz w:val="24"/>
        </w:rPr>
      </w:pPr>
      <w:r>
        <w:rPr>
          <w:rFonts w:hint="eastAsia"/>
          <w:b w:val="0"/>
          <w:bCs/>
          <w:sz w:val="24"/>
        </w:rPr>
        <w:t>4、</w:t>
      </w:r>
      <w:r>
        <w:rPr>
          <w:rFonts w:hint="eastAsia" w:asciiTheme="majorEastAsia" w:hAnsiTheme="majorEastAsia" w:eastAsiaTheme="majorEastAsia" w:cstheme="majorEastAsia"/>
          <w:b w:val="0"/>
          <w:bCs/>
          <w:sz w:val="24"/>
        </w:rPr>
        <w:t>竞买人一旦参加竞买即表明已接受本须知及相关法律法规的规定，并承担因此产生的一切法律后果。</w:t>
      </w:r>
      <w:r>
        <w:rPr>
          <w:rFonts w:hint="eastAsia"/>
          <w:b w:val="0"/>
          <w:bCs/>
          <w:sz w:val="24"/>
        </w:rPr>
        <w:tab/>
      </w:r>
    </w:p>
    <w:p w14:paraId="33AF60F3">
      <w:pPr>
        <w:snapToGrid w:val="0"/>
        <w:spacing w:line="400" w:lineRule="exact"/>
        <w:jc w:val="center"/>
        <w:textAlignment w:val="baseline"/>
        <w:rPr>
          <w:b w:val="0"/>
          <w:bCs/>
          <w:sz w:val="24"/>
        </w:rPr>
      </w:pPr>
      <w:r>
        <w:rPr>
          <w:rFonts w:hint="eastAsia"/>
          <w:b w:val="0"/>
          <w:bCs/>
          <w:sz w:val="24"/>
        </w:rPr>
        <w:t>第二章 竞拍资格</w:t>
      </w:r>
    </w:p>
    <w:p w14:paraId="32AA11F7">
      <w:pPr>
        <w:spacing w:line="400" w:lineRule="exact"/>
        <w:ind w:firstLine="448" w:firstLineChars="187"/>
        <w:textAlignment w:val="baseline"/>
        <w:rPr>
          <w:b w:val="0"/>
          <w:bCs/>
          <w:sz w:val="24"/>
        </w:rPr>
      </w:pPr>
      <w:r>
        <w:rPr>
          <w:rFonts w:hint="eastAsia"/>
          <w:b w:val="0"/>
          <w:bCs/>
          <w:sz w:val="24"/>
        </w:rPr>
        <w:t>第三条 竞买资格：竞买人参加竞买须交纳竞买保证金并办理竞买手续，方可取得竞买资格。</w:t>
      </w:r>
    </w:p>
    <w:p w14:paraId="7884B104">
      <w:pPr>
        <w:spacing w:line="400" w:lineRule="exact"/>
        <w:ind w:firstLine="448" w:firstLineChars="187"/>
        <w:textAlignment w:val="baseline"/>
        <w:rPr>
          <w:b w:val="0"/>
          <w:bCs/>
          <w:sz w:val="24"/>
        </w:rPr>
      </w:pPr>
      <w:r>
        <w:rPr>
          <w:rFonts w:hint="eastAsia"/>
          <w:b w:val="0"/>
          <w:bCs/>
          <w:sz w:val="24"/>
        </w:rPr>
        <w:t>企业法人或其他组织：注册地必须</w:t>
      </w:r>
      <w:r>
        <w:rPr>
          <w:rFonts w:hint="eastAsia"/>
          <w:b w:val="0"/>
          <w:bCs/>
          <w:sz w:val="24"/>
          <w:lang w:eastAsia="zh-CN"/>
        </w:rPr>
        <w:t>是</w:t>
      </w:r>
      <w:r>
        <w:rPr>
          <w:rFonts w:hint="eastAsia"/>
          <w:b w:val="0"/>
          <w:bCs/>
          <w:sz w:val="24"/>
          <w:lang w:val="en-US" w:eastAsia="zh-CN"/>
        </w:rPr>
        <w:t>辽宁省并经辽宁省公安厅交通安全管理局、鞍山市公安局交通管理局备案的号牌制作机构的企业法人</w:t>
      </w:r>
      <w:r>
        <w:rPr>
          <w:rFonts w:hint="eastAsia"/>
          <w:b w:val="0"/>
          <w:bCs/>
          <w:sz w:val="24"/>
        </w:rPr>
        <w:t>，</w:t>
      </w:r>
      <w:r>
        <w:rPr>
          <w:rFonts w:hint="eastAsia"/>
          <w:b w:val="0"/>
          <w:bCs/>
          <w:sz w:val="24"/>
          <w:highlight w:val="none"/>
        </w:rPr>
        <w:t>但不属于参与本次资产处置工作的评估师、拍卖师等中介机构的关联人，亦不与本次资产转让有关的工作人员、受托资产评估机构、拍卖机构负责人员等存在任何直系亲属关系。</w:t>
      </w:r>
      <w:r>
        <w:rPr>
          <w:rFonts w:hint="eastAsia"/>
          <w:b w:val="0"/>
          <w:bCs/>
          <w:sz w:val="24"/>
        </w:rPr>
        <w:t xml:space="preserve">须提供营业执照副本加盖公章的复印件、法人代表身份证明，如委托他人竞买，还需提供授权代表委托书，及被委托人的身份证明原件。 </w:t>
      </w:r>
    </w:p>
    <w:p w14:paraId="1223D18F">
      <w:pPr>
        <w:snapToGrid w:val="0"/>
        <w:spacing w:line="400" w:lineRule="exact"/>
        <w:ind w:firstLine="3360" w:firstLineChars="1400"/>
        <w:textAlignment w:val="baseline"/>
        <w:rPr>
          <w:rFonts w:hint="eastAsia"/>
          <w:b w:val="0"/>
          <w:bCs/>
          <w:sz w:val="24"/>
        </w:rPr>
      </w:pPr>
    </w:p>
    <w:p w14:paraId="7F9DD710">
      <w:pPr>
        <w:snapToGrid w:val="0"/>
        <w:spacing w:line="400" w:lineRule="exact"/>
        <w:ind w:firstLine="3360" w:firstLineChars="1400"/>
        <w:textAlignment w:val="baseline"/>
        <w:rPr>
          <w:b w:val="0"/>
          <w:bCs/>
          <w:sz w:val="24"/>
        </w:rPr>
      </w:pPr>
      <w:r>
        <w:rPr>
          <w:rFonts w:hint="eastAsia"/>
          <w:b w:val="0"/>
          <w:bCs/>
          <w:sz w:val="24"/>
        </w:rPr>
        <w:t>第三章   竞买登记</w:t>
      </w:r>
    </w:p>
    <w:p w14:paraId="54957C6D">
      <w:pPr>
        <w:pStyle w:val="3"/>
        <w:snapToGrid w:val="0"/>
        <w:spacing w:line="400" w:lineRule="exact"/>
        <w:ind w:left="61" w:leftChars="29" w:firstLine="415" w:firstLineChars="173"/>
        <w:textAlignment w:val="baseline"/>
        <w:rPr>
          <w:rFonts w:eastAsia="宋体"/>
          <w:b w:val="0"/>
          <w:bCs/>
        </w:rPr>
      </w:pPr>
      <w:r>
        <w:rPr>
          <w:rFonts w:hint="eastAsia" w:eastAsia="宋体"/>
          <w:b w:val="0"/>
          <w:bCs/>
        </w:rPr>
        <w:t>第四条  参加本次拍卖会的竞买人，应当于</w:t>
      </w:r>
      <w:r>
        <w:rPr>
          <w:rFonts w:hint="eastAsia" w:eastAsia="宋体"/>
          <w:b w:val="0"/>
          <w:bCs/>
          <w:highlight w:val="yellow"/>
        </w:rPr>
        <w:t>202</w:t>
      </w:r>
      <w:r>
        <w:rPr>
          <w:rFonts w:eastAsia="宋体"/>
          <w:b w:val="0"/>
          <w:bCs/>
          <w:highlight w:val="yellow"/>
        </w:rPr>
        <w:t>4</w:t>
      </w:r>
      <w:r>
        <w:rPr>
          <w:rFonts w:hint="eastAsia" w:eastAsia="宋体"/>
          <w:b w:val="0"/>
          <w:bCs/>
          <w:highlight w:val="yellow"/>
        </w:rPr>
        <w:t>年</w:t>
      </w:r>
      <w:r>
        <w:rPr>
          <w:rFonts w:eastAsia="宋体"/>
          <w:b w:val="0"/>
          <w:bCs/>
          <w:highlight w:val="yellow"/>
        </w:rPr>
        <w:t xml:space="preserve"> </w:t>
      </w:r>
      <w:r>
        <w:rPr>
          <w:rFonts w:hint="eastAsia" w:eastAsia="宋体"/>
          <w:b w:val="0"/>
          <w:bCs/>
          <w:highlight w:val="yellow"/>
        </w:rPr>
        <w:t>月</w:t>
      </w:r>
      <w:r>
        <w:rPr>
          <w:rFonts w:eastAsia="宋体"/>
          <w:b w:val="0"/>
          <w:bCs/>
          <w:highlight w:val="yellow"/>
        </w:rPr>
        <w:t xml:space="preserve"> </w:t>
      </w:r>
      <w:r>
        <w:rPr>
          <w:rFonts w:hint="eastAsia" w:eastAsia="宋体"/>
          <w:b w:val="0"/>
          <w:bCs/>
          <w:highlight w:val="yellow"/>
        </w:rPr>
        <w:t>日</w:t>
      </w:r>
      <w:r>
        <w:rPr>
          <w:rFonts w:eastAsia="宋体"/>
          <w:b w:val="0"/>
          <w:bCs/>
          <w:highlight w:val="yellow"/>
        </w:rPr>
        <w:t xml:space="preserve">— </w:t>
      </w:r>
      <w:r>
        <w:rPr>
          <w:rFonts w:hint="eastAsia" w:eastAsia="宋体"/>
          <w:b w:val="0"/>
          <w:bCs/>
          <w:highlight w:val="yellow"/>
        </w:rPr>
        <w:t>日</w:t>
      </w:r>
      <w:r>
        <w:rPr>
          <w:rFonts w:hint="eastAsia" w:eastAsia="宋体"/>
          <w:b w:val="0"/>
          <w:bCs/>
        </w:rPr>
        <w:t>到拍卖公司及标的现场勘查检验标的，了解掌握标的现状和瑕疵。</w:t>
      </w:r>
    </w:p>
    <w:p w14:paraId="52EF38EB">
      <w:pPr>
        <w:pStyle w:val="3"/>
        <w:snapToGrid w:val="0"/>
        <w:spacing w:line="400" w:lineRule="exact"/>
        <w:ind w:firstLine="475" w:firstLineChars="198"/>
        <w:jc w:val="left"/>
        <w:textAlignment w:val="baseline"/>
        <w:rPr>
          <w:rFonts w:eastAsia="宋体"/>
          <w:b w:val="0"/>
          <w:bCs/>
        </w:rPr>
      </w:pPr>
      <w:r>
        <w:rPr>
          <w:rFonts w:hint="eastAsia" w:eastAsia="宋体"/>
          <w:b w:val="0"/>
          <w:bCs/>
        </w:rPr>
        <w:t xml:space="preserve">第五条  竞买人必须在 </w:t>
      </w:r>
      <w:r>
        <w:rPr>
          <w:rFonts w:hint="eastAsia" w:eastAsia="宋体"/>
          <w:b w:val="0"/>
          <w:bCs/>
          <w:highlight w:val="yellow"/>
        </w:rPr>
        <w:t>202</w:t>
      </w:r>
      <w:r>
        <w:rPr>
          <w:rFonts w:eastAsia="宋体"/>
          <w:b w:val="0"/>
          <w:bCs/>
          <w:highlight w:val="yellow"/>
        </w:rPr>
        <w:t>4</w:t>
      </w:r>
      <w:r>
        <w:rPr>
          <w:rFonts w:hint="eastAsia" w:eastAsia="宋体"/>
          <w:b w:val="0"/>
          <w:bCs/>
          <w:highlight w:val="yellow"/>
        </w:rPr>
        <w:t>年</w:t>
      </w:r>
      <w:r>
        <w:rPr>
          <w:rFonts w:eastAsia="宋体"/>
          <w:b w:val="0"/>
          <w:bCs/>
          <w:highlight w:val="yellow"/>
        </w:rPr>
        <w:t xml:space="preserve">  </w:t>
      </w:r>
      <w:r>
        <w:rPr>
          <w:rFonts w:hint="eastAsia" w:eastAsia="宋体"/>
          <w:b w:val="0"/>
          <w:bCs/>
          <w:highlight w:val="yellow"/>
        </w:rPr>
        <w:t>月</w:t>
      </w:r>
      <w:r>
        <w:rPr>
          <w:rFonts w:eastAsia="宋体"/>
          <w:b w:val="0"/>
          <w:bCs/>
          <w:highlight w:val="yellow"/>
        </w:rPr>
        <w:t xml:space="preserve">  </w:t>
      </w:r>
      <w:r>
        <w:rPr>
          <w:rFonts w:hint="eastAsia" w:eastAsia="宋体"/>
          <w:b w:val="0"/>
          <w:bCs/>
          <w:highlight w:val="yellow"/>
        </w:rPr>
        <w:t>日</w:t>
      </w:r>
      <w:r>
        <w:rPr>
          <w:rFonts w:eastAsia="宋体"/>
          <w:b w:val="0"/>
          <w:bCs/>
          <w:highlight w:val="yellow"/>
        </w:rPr>
        <w:t xml:space="preserve">  </w:t>
      </w:r>
      <w:r>
        <w:rPr>
          <w:rFonts w:hint="eastAsia" w:eastAsia="宋体"/>
          <w:b w:val="0"/>
          <w:bCs/>
          <w:highlight w:val="yellow"/>
        </w:rPr>
        <w:t>时</w:t>
      </w:r>
      <w:r>
        <w:rPr>
          <w:rFonts w:hint="eastAsia" w:eastAsia="宋体"/>
          <w:b w:val="0"/>
          <w:bCs/>
        </w:rPr>
        <w:t>前将竞买保证金</w:t>
      </w:r>
      <w:r>
        <w:rPr>
          <w:rFonts w:eastAsia="宋体"/>
          <w:b w:val="0"/>
          <w:bCs/>
        </w:rPr>
        <w:t>5</w:t>
      </w:r>
      <w:r>
        <w:rPr>
          <w:rFonts w:hint="eastAsia" w:eastAsia="宋体"/>
          <w:b w:val="0"/>
          <w:bCs/>
        </w:rPr>
        <w:t>万元</w:t>
      </w:r>
      <w:r>
        <w:rPr>
          <w:rFonts w:hint="eastAsia" w:eastAsia="宋体"/>
          <w:b w:val="0"/>
          <w:bCs/>
          <w:lang w:eastAsia="zh-Hans"/>
        </w:rPr>
        <w:t>，</w:t>
      </w:r>
      <w:r>
        <w:rPr>
          <w:rFonts w:hint="eastAsia" w:eastAsia="宋体"/>
          <w:b w:val="0"/>
          <w:bCs/>
        </w:rPr>
        <w:t>保证金交付指定</w:t>
      </w:r>
      <w:r>
        <w:rPr>
          <w:rFonts w:hint="eastAsia" w:eastAsia="宋体"/>
          <w:b w:val="0"/>
          <w:bCs/>
          <w:lang w:eastAsia="zh-CN"/>
        </w:rPr>
        <w:t>账</w:t>
      </w:r>
      <w:bookmarkStart w:id="0" w:name="_GoBack"/>
      <w:bookmarkEnd w:id="0"/>
      <w:r>
        <w:rPr>
          <w:rFonts w:hint="eastAsia" w:eastAsia="宋体"/>
          <w:b w:val="0"/>
          <w:bCs/>
        </w:rPr>
        <w:t>户，以实际到账为准，超过时间到账不得参加竞买。</w:t>
      </w:r>
    </w:p>
    <w:p w14:paraId="660A311D">
      <w:pPr>
        <w:pStyle w:val="3"/>
        <w:snapToGrid w:val="0"/>
        <w:spacing w:line="400" w:lineRule="exact"/>
        <w:ind w:firstLine="475" w:firstLineChars="198"/>
        <w:jc w:val="left"/>
        <w:textAlignment w:val="baseline"/>
        <w:rPr>
          <w:rFonts w:eastAsia="宋体"/>
          <w:b w:val="0"/>
          <w:bCs/>
        </w:rPr>
      </w:pPr>
      <w:r>
        <w:rPr>
          <w:rFonts w:hint="eastAsia" w:eastAsia="宋体"/>
          <w:b w:val="0"/>
          <w:bCs/>
        </w:rPr>
        <w:t>注：保证金缴纳</w:t>
      </w:r>
    </w:p>
    <w:p w14:paraId="36097EC4">
      <w:pPr>
        <w:pStyle w:val="3"/>
        <w:snapToGrid w:val="0"/>
        <w:spacing w:line="400" w:lineRule="exact"/>
        <w:ind w:firstLine="475" w:firstLineChars="198"/>
        <w:jc w:val="left"/>
        <w:textAlignment w:val="baseline"/>
        <w:rPr>
          <w:rFonts w:hint="eastAsia" w:eastAsia="宋体"/>
          <w:b w:val="0"/>
          <w:bCs/>
        </w:rPr>
      </w:pPr>
      <w:r>
        <w:rPr>
          <w:rFonts w:hint="eastAsia" w:eastAsia="宋体"/>
          <w:b w:val="0"/>
          <w:bCs/>
        </w:rPr>
        <w:t>户名：辽宁万典拍卖有限公司</w:t>
      </w:r>
    </w:p>
    <w:p w14:paraId="346D0361">
      <w:pPr>
        <w:pStyle w:val="3"/>
        <w:snapToGrid w:val="0"/>
        <w:spacing w:line="400" w:lineRule="exact"/>
        <w:ind w:firstLine="475" w:firstLineChars="198"/>
        <w:jc w:val="left"/>
        <w:textAlignment w:val="baseline"/>
        <w:rPr>
          <w:rFonts w:hint="eastAsia" w:eastAsia="宋体"/>
          <w:b w:val="0"/>
          <w:bCs/>
        </w:rPr>
      </w:pPr>
      <w:r>
        <w:rPr>
          <w:rFonts w:hint="eastAsia" w:eastAsia="宋体"/>
          <w:b w:val="0"/>
          <w:bCs/>
        </w:rPr>
        <w:t>账号：26842300000000000082</w:t>
      </w:r>
    </w:p>
    <w:p w14:paraId="623FC9BC">
      <w:pPr>
        <w:pStyle w:val="3"/>
        <w:snapToGrid w:val="0"/>
        <w:spacing w:line="400" w:lineRule="exact"/>
        <w:ind w:firstLine="475" w:firstLineChars="198"/>
        <w:jc w:val="left"/>
        <w:textAlignment w:val="baseline"/>
        <w:rPr>
          <w:rFonts w:eastAsia="宋体"/>
          <w:b w:val="0"/>
          <w:bCs/>
        </w:rPr>
      </w:pPr>
      <w:r>
        <w:rPr>
          <w:rFonts w:hint="eastAsia" w:eastAsia="宋体"/>
          <w:b w:val="0"/>
          <w:bCs/>
        </w:rPr>
        <w:t>开户行：鞍山农村商业银行股份有限公司站前支行</w:t>
      </w:r>
      <w:r>
        <w:rPr>
          <w:rFonts w:hint="eastAsia" w:eastAsia="宋体"/>
          <w:b w:val="0"/>
          <w:bCs/>
          <w:lang w:eastAsia="zh-Hans"/>
        </w:rPr>
        <w:t>；</w:t>
      </w:r>
    </w:p>
    <w:p w14:paraId="78BE86A1">
      <w:pPr>
        <w:pStyle w:val="3"/>
        <w:snapToGrid w:val="0"/>
        <w:spacing w:line="400" w:lineRule="exact"/>
        <w:ind w:firstLine="470" w:firstLineChars="196"/>
        <w:textAlignment w:val="baseline"/>
        <w:rPr>
          <w:rFonts w:eastAsia="宋体"/>
          <w:b w:val="0"/>
          <w:bCs/>
        </w:rPr>
      </w:pPr>
      <w:r>
        <w:rPr>
          <w:rFonts w:hint="eastAsia" w:eastAsia="宋体"/>
          <w:b w:val="0"/>
          <w:bCs/>
        </w:rPr>
        <w:t>第六条  竞买人交纳保证金后应办理网络拍卖系统注册，领取竞买账号和密码。</w:t>
      </w:r>
    </w:p>
    <w:p w14:paraId="5E9A6BD6">
      <w:pPr>
        <w:spacing w:line="400" w:lineRule="exact"/>
        <w:ind w:firstLine="448" w:firstLineChars="187"/>
        <w:textAlignment w:val="baseline"/>
        <w:rPr>
          <w:b w:val="0"/>
          <w:bCs/>
          <w:sz w:val="24"/>
        </w:rPr>
      </w:pPr>
      <w:r>
        <w:rPr>
          <w:rFonts w:hint="eastAsia"/>
          <w:b w:val="0"/>
          <w:bCs/>
          <w:sz w:val="24"/>
        </w:rPr>
        <w:t>第七条  竞买人应对其竞买账号和密码的安全性负责，注意信息保密，任何使用竞买人账号和密码登录进入网络拍卖系统的用户，在该网站上的一切行为均视为竞买人本人的行为，由于泄密、交他人使用等原因造成损失的，由竞买人负责。</w:t>
      </w:r>
    </w:p>
    <w:p w14:paraId="18913050">
      <w:pPr>
        <w:spacing w:line="400" w:lineRule="exact"/>
        <w:ind w:firstLine="480" w:firstLineChars="200"/>
        <w:textAlignment w:val="baseline"/>
        <w:rPr>
          <w:b w:val="0"/>
          <w:bCs/>
          <w:sz w:val="24"/>
        </w:rPr>
      </w:pPr>
      <w:r>
        <w:rPr>
          <w:rFonts w:hint="eastAsia"/>
          <w:b w:val="0"/>
          <w:bCs/>
          <w:sz w:val="24"/>
        </w:rPr>
        <w:t>第八条  竞买人办理注册后，凭营业执照等材料进行登记，填写竞买人登记表。</w:t>
      </w:r>
    </w:p>
    <w:p w14:paraId="46E676B6">
      <w:pPr>
        <w:spacing w:line="400" w:lineRule="exact"/>
        <w:ind w:firstLine="470" w:firstLineChars="196"/>
        <w:textAlignment w:val="baseline"/>
        <w:rPr>
          <w:b w:val="0"/>
          <w:bCs/>
          <w:sz w:val="24"/>
        </w:rPr>
      </w:pPr>
      <w:r>
        <w:rPr>
          <w:rFonts w:hint="eastAsia"/>
          <w:b w:val="0"/>
          <w:bCs/>
          <w:sz w:val="24"/>
        </w:rPr>
        <w:t>第九条  竞买人认真阅读和签署竞买须知和拍卖规则。</w:t>
      </w:r>
    </w:p>
    <w:p w14:paraId="0EF5C6AC">
      <w:pPr>
        <w:spacing w:line="400" w:lineRule="exact"/>
        <w:ind w:firstLine="480" w:firstLineChars="200"/>
        <w:textAlignment w:val="baseline"/>
        <w:rPr>
          <w:b w:val="0"/>
          <w:bCs/>
          <w:sz w:val="24"/>
        </w:rPr>
      </w:pPr>
      <w:r>
        <w:rPr>
          <w:rFonts w:hint="eastAsia"/>
          <w:b w:val="0"/>
          <w:bCs/>
          <w:sz w:val="24"/>
        </w:rPr>
        <w:t>第十条 竞买人办理完上述手续后，登录“辽宁省公共资源拍卖网”（https://www.lngp.org.cn/） 了解并掌握相关操作程序。</w:t>
      </w:r>
    </w:p>
    <w:p w14:paraId="03122B6B">
      <w:pPr>
        <w:pStyle w:val="3"/>
        <w:snapToGrid w:val="0"/>
        <w:spacing w:line="400" w:lineRule="exact"/>
        <w:ind w:firstLine="3300" w:firstLineChars="1375"/>
        <w:textAlignment w:val="baseline"/>
        <w:rPr>
          <w:b w:val="0"/>
          <w:bCs/>
        </w:rPr>
      </w:pPr>
    </w:p>
    <w:p w14:paraId="08AE5698">
      <w:pPr>
        <w:pStyle w:val="3"/>
        <w:snapToGrid w:val="0"/>
        <w:spacing w:line="400" w:lineRule="exact"/>
        <w:ind w:firstLine="3300" w:firstLineChars="1375"/>
        <w:textAlignment w:val="baseline"/>
        <w:rPr>
          <w:rFonts w:eastAsia="宋体"/>
          <w:b w:val="0"/>
          <w:bCs/>
        </w:rPr>
      </w:pPr>
      <w:r>
        <w:rPr>
          <w:rFonts w:hint="eastAsia" w:eastAsia="宋体"/>
          <w:b w:val="0"/>
          <w:bCs/>
        </w:rPr>
        <w:t>第四章  网络拍卖与竞买</w:t>
      </w:r>
    </w:p>
    <w:p w14:paraId="1928D0F7">
      <w:pPr>
        <w:snapToGrid w:val="0"/>
        <w:spacing w:line="400" w:lineRule="exact"/>
        <w:ind w:left="23" w:leftChars="11" w:firstLine="470" w:firstLineChars="196"/>
        <w:jc w:val="left"/>
        <w:textAlignment w:val="baseline"/>
        <w:rPr>
          <w:b w:val="0"/>
          <w:bCs/>
          <w:sz w:val="24"/>
        </w:rPr>
      </w:pPr>
      <w:r>
        <w:rPr>
          <w:rFonts w:hint="eastAsia"/>
          <w:b w:val="0"/>
          <w:bCs/>
          <w:sz w:val="24"/>
        </w:rPr>
        <w:t>第十一条  本场拍卖会在辽宁省公共资源拍卖网（https://www.lngp.org.cn/）举行，采取网络竞价形式，具体内容见本次拍卖规则。</w:t>
      </w:r>
    </w:p>
    <w:p w14:paraId="053E58B5">
      <w:pPr>
        <w:pStyle w:val="3"/>
        <w:snapToGrid w:val="0"/>
        <w:spacing w:line="400" w:lineRule="exact"/>
        <w:ind w:firstLine="470" w:firstLineChars="196"/>
        <w:textAlignment w:val="baseline"/>
        <w:rPr>
          <w:rFonts w:eastAsia="宋体"/>
          <w:b w:val="0"/>
          <w:bCs/>
        </w:rPr>
      </w:pPr>
      <w:r>
        <w:rPr>
          <w:rFonts w:hint="eastAsia" w:eastAsia="宋体"/>
          <w:b w:val="0"/>
          <w:bCs/>
        </w:rPr>
        <w:t>第十二条 本场拍卖会采用增价式拍卖，加价幅度在网络拍卖系统中已设定。</w:t>
      </w:r>
    </w:p>
    <w:p w14:paraId="0CAF1DD2">
      <w:pPr>
        <w:spacing w:line="400" w:lineRule="exact"/>
        <w:ind w:firstLine="470" w:firstLineChars="196"/>
        <w:textAlignment w:val="baseline"/>
        <w:rPr>
          <w:b w:val="0"/>
          <w:bCs/>
          <w:sz w:val="24"/>
        </w:rPr>
      </w:pPr>
      <w:r>
        <w:rPr>
          <w:rFonts w:hint="eastAsia"/>
          <w:b w:val="0"/>
          <w:bCs/>
          <w:sz w:val="24"/>
        </w:rPr>
        <w:t>第十三条 本次网络拍卖标的起始价：</w:t>
      </w:r>
      <w:r>
        <w:rPr>
          <w:rFonts w:hint="eastAsia"/>
          <w:b w:val="0"/>
          <w:bCs/>
          <w:sz w:val="24"/>
          <w:u w:val="single" w:color="000000"/>
        </w:rPr>
        <w:t>参见标的目录清单</w:t>
      </w:r>
      <w:r>
        <w:rPr>
          <w:rFonts w:hint="eastAsia"/>
          <w:b w:val="0"/>
          <w:bCs/>
          <w:sz w:val="24"/>
        </w:rPr>
        <w:t>。</w:t>
      </w:r>
    </w:p>
    <w:p w14:paraId="60CA9670">
      <w:pPr>
        <w:snapToGrid w:val="0"/>
        <w:spacing w:line="400" w:lineRule="exact"/>
        <w:ind w:firstLine="470" w:firstLineChars="196"/>
        <w:textAlignment w:val="baseline"/>
        <w:rPr>
          <w:b w:val="0"/>
          <w:bCs/>
          <w:sz w:val="24"/>
        </w:rPr>
      </w:pPr>
      <w:r>
        <w:rPr>
          <w:rFonts w:hint="eastAsia"/>
          <w:b w:val="0"/>
          <w:bCs/>
          <w:sz w:val="24"/>
        </w:rPr>
        <w:t>第十四条 本次网络拍卖采取</w:t>
      </w:r>
      <w:r>
        <w:rPr>
          <w:rFonts w:hint="eastAsia"/>
          <w:b w:val="0"/>
          <w:bCs/>
          <w:color w:val="000000"/>
          <w:sz w:val="24"/>
          <w:u w:val="single" w:color="000000"/>
        </w:rPr>
        <w:t>多次报价</w:t>
      </w:r>
      <w:r>
        <w:rPr>
          <w:rFonts w:hint="eastAsia"/>
          <w:b w:val="0"/>
          <w:bCs/>
          <w:sz w:val="24"/>
        </w:rPr>
        <w:t>方式。</w:t>
      </w:r>
    </w:p>
    <w:p w14:paraId="14A9FBEC">
      <w:pPr>
        <w:snapToGrid w:val="0"/>
        <w:spacing w:line="400" w:lineRule="exact"/>
        <w:ind w:firstLine="470" w:firstLineChars="196"/>
        <w:textAlignment w:val="baseline"/>
        <w:rPr>
          <w:b w:val="0"/>
          <w:bCs/>
          <w:sz w:val="24"/>
        </w:rPr>
      </w:pPr>
      <w:r>
        <w:rPr>
          <w:rFonts w:hint="eastAsia"/>
          <w:b w:val="0"/>
          <w:bCs/>
          <w:sz w:val="24"/>
        </w:rPr>
        <w:t>第十五条 拍卖会开始前，取得竞买资格的竞买人应通过辽宁省公共资源拍卖网登录进入“我的竞拍”，待拍卖会开始进行竞价操作。</w:t>
      </w:r>
    </w:p>
    <w:p w14:paraId="0543AA1E">
      <w:pPr>
        <w:snapToGrid w:val="0"/>
        <w:spacing w:line="400" w:lineRule="exact"/>
        <w:ind w:right="-204" w:firstLine="480" w:firstLineChars="200"/>
        <w:jc w:val="left"/>
        <w:textAlignment w:val="baseline"/>
        <w:rPr>
          <w:b w:val="0"/>
          <w:bCs/>
          <w:color w:val="000000"/>
          <w:sz w:val="24"/>
        </w:rPr>
      </w:pPr>
      <w:r>
        <w:rPr>
          <w:rFonts w:hint="eastAsia"/>
          <w:b w:val="0"/>
          <w:bCs/>
          <w:sz w:val="24"/>
        </w:rPr>
        <w:t>第十六条  网络拍卖系统因不可抗力、软硬件故障、非法入侵、恶意攻击等原因而导致系统异常、拍卖活动被迫中断的，本场拍卖活动暂停，委托人和拍卖人不承担责任。</w:t>
      </w:r>
      <w:r>
        <w:rPr>
          <w:rFonts w:hint="eastAsia"/>
          <w:b w:val="0"/>
          <w:bCs/>
          <w:color w:val="000000"/>
          <w:sz w:val="24"/>
        </w:rPr>
        <w:t>若竞价记录可以恢复的，重新启动拍卖后的起始价为网络中断时的最高有效报价；若竞价记录无法恢复的，起拍价为标的起始价。</w:t>
      </w:r>
    </w:p>
    <w:p w14:paraId="2188B811">
      <w:pPr>
        <w:spacing w:line="400" w:lineRule="exact"/>
        <w:ind w:firstLine="470" w:firstLineChars="196"/>
        <w:textAlignment w:val="baseline"/>
        <w:rPr>
          <w:b w:val="0"/>
          <w:bCs/>
          <w:sz w:val="24"/>
        </w:rPr>
      </w:pPr>
      <w:r>
        <w:rPr>
          <w:rFonts w:hint="eastAsia"/>
          <w:b w:val="0"/>
          <w:bCs/>
          <w:sz w:val="24"/>
        </w:rPr>
        <w:t>第十七条  拍卖活动的时间以网络拍卖系统时间为准。由于竞买人自身终端设备时间与网站系统时间不符而导致未按时参与拍卖的，竞买人自己承担责任。</w:t>
      </w:r>
    </w:p>
    <w:p w14:paraId="3B41A922">
      <w:pPr>
        <w:pStyle w:val="3"/>
        <w:snapToGrid w:val="0"/>
        <w:spacing w:line="400" w:lineRule="exact"/>
        <w:ind w:firstLine="3528" w:firstLineChars="1470"/>
        <w:textAlignment w:val="baseline"/>
        <w:rPr>
          <w:rFonts w:eastAsia="宋体"/>
          <w:b w:val="0"/>
          <w:bCs/>
        </w:rPr>
      </w:pPr>
      <w:r>
        <w:rPr>
          <w:rFonts w:hint="eastAsia" w:eastAsia="宋体"/>
          <w:b w:val="0"/>
          <w:bCs/>
        </w:rPr>
        <w:t>第五章  交款与退款</w:t>
      </w:r>
    </w:p>
    <w:p w14:paraId="1CFB53C8">
      <w:pPr>
        <w:pStyle w:val="3"/>
        <w:snapToGrid w:val="0"/>
        <w:spacing w:line="400" w:lineRule="exact"/>
        <w:ind w:firstLine="482"/>
        <w:textAlignment w:val="baseline"/>
        <w:rPr>
          <w:rFonts w:eastAsia="宋体"/>
          <w:b w:val="0"/>
          <w:bCs/>
        </w:rPr>
      </w:pPr>
      <w:r>
        <w:rPr>
          <w:rFonts w:hint="eastAsia" w:eastAsia="宋体"/>
          <w:b w:val="0"/>
          <w:bCs/>
        </w:rPr>
        <w:t>第十八条  竞买成功，买受人需签署拍卖成交确认书，并按照成交确认书上的数额交齐成交款及佣金，竞买保证金在签署成交确认书十日内原路返还。</w:t>
      </w:r>
    </w:p>
    <w:p w14:paraId="44C1EB73">
      <w:pPr>
        <w:pStyle w:val="3"/>
        <w:snapToGrid w:val="0"/>
        <w:spacing w:line="400" w:lineRule="exact"/>
        <w:ind w:firstLine="482"/>
        <w:textAlignment w:val="baseline"/>
        <w:rPr>
          <w:rFonts w:eastAsia="宋体"/>
          <w:b w:val="0"/>
          <w:bCs/>
        </w:rPr>
      </w:pPr>
      <w:r>
        <w:rPr>
          <w:rFonts w:hint="eastAsia" w:eastAsia="宋体"/>
          <w:b w:val="0"/>
          <w:bCs/>
        </w:rPr>
        <w:t>第十九条  竞买成交后，买受人应向拍卖公司支付</w:t>
      </w:r>
      <w:r>
        <w:rPr>
          <w:rFonts w:hint="eastAsia" w:eastAsia="宋体"/>
          <w:b w:val="0"/>
          <w:bCs/>
          <w:u w:val="single"/>
          <w:lang w:val="en-US" w:eastAsia="zh-CN"/>
        </w:rPr>
        <w:t xml:space="preserve">     </w:t>
      </w:r>
      <w:r>
        <w:rPr>
          <w:rFonts w:hint="eastAsia" w:eastAsia="宋体"/>
          <w:b w:val="0"/>
          <w:bCs/>
        </w:rPr>
        <w:t>佣金。</w:t>
      </w:r>
    </w:p>
    <w:p w14:paraId="11138611">
      <w:pPr>
        <w:pStyle w:val="3"/>
        <w:snapToGrid w:val="0"/>
        <w:spacing w:line="400" w:lineRule="exact"/>
        <w:ind w:firstLine="482"/>
        <w:textAlignment w:val="baseline"/>
        <w:rPr>
          <w:rFonts w:eastAsia="宋体"/>
          <w:b w:val="0"/>
          <w:bCs/>
        </w:rPr>
      </w:pPr>
      <w:r>
        <w:rPr>
          <w:rFonts w:hint="eastAsia" w:eastAsia="宋体"/>
          <w:b w:val="0"/>
          <w:bCs/>
        </w:rPr>
        <w:t>第二十条  交齐成交款和佣金的时间为拍卖成交三日内。</w:t>
      </w:r>
    </w:p>
    <w:p w14:paraId="3D5BE722">
      <w:pPr>
        <w:pStyle w:val="3"/>
        <w:snapToGrid w:val="0"/>
        <w:spacing w:line="400" w:lineRule="exact"/>
        <w:ind w:firstLine="482"/>
        <w:textAlignment w:val="baseline"/>
        <w:rPr>
          <w:rFonts w:eastAsia="宋体"/>
          <w:b w:val="0"/>
          <w:bCs/>
        </w:rPr>
      </w:pPr>
      <w:r>
        <w:rPr>
          <w:rFonts w:hint="eastAsia" w:eastAsia="宋体"/>
          <w:b w:val="0"/>
          <w:bCs/>
        </w:rPr>
        <w:t>未按约定时间和数额交齐的，视为买受人违约，保证金转为违约金不予返还，根据《拍卖法》第三十九条规定：买受人应当按照约定支付拍卖标的的价款，未按照约定支付价款的，应当承担违约责任，或者由拍卖人征得委托人的同意，将拍卖标的再行拍卖。</w:t>
      </w:r>
    </w:p>
    <w:p w14:paraId="5CA0C357">
      <w:pPr>
        <w:pStyle w:val="3"/>
        <w:snapToGrid w:val="0"/>
        <w:spacing w:line="400" w:lineRule="exact"/>
        <w:ind w:firstLine="482"/>
        <w:textAlignment w:val="baseline"/>
        <w:rPr>
          <w:rFonts w:eastAsia="宋体"/>
          <w:b w:val="0"/>
          <w:bCs/>
        </w:rPr>
      </w:pPr>
      <w:r>
        <w:rPr>
          <w:rFonts w:hint="eastAsia" w:eastAsia="宋体"/>
          <w:b w:val="0"/>
          <w:bCs/>
        </w:rPr>
        <w:t>　　拍卖标的再行拍卖的，原买受人应当支付第一次拍卖中本人及委托人应当支付的佣金。再行拍卖的价款低于原拍卖价款的，原买受人应当补足差额。</w:t>
      </w:r>
    </w:p>
    <w:p w14:paraId="135D8A77">
      <w:pPr>
        <w:spacing w:line="400" w:lineRule="exact"/>
        <w:ind w:firstLine="480" w:firstLineChars="200"/>
        <w:textAlignment w:val="baseline"/>
        <w:rPr>
          <w:b w:val="0"/>
          <w:bCs/>
          <w:sz w:val="24"/>
        </w:rPr>
      </w:pPr>
      <w:r>
        <w:rPr>
          <w:rFonts w:hint="eastAsia"/>
          <w:b w:val="0"/>
          <w:bCs/>
          <w:sz w:val="24"/>
        </w:rPr>
        <w:t>第二十一条  竞买未成交的，保证金原则上原路退还。退还期限：竞买保证金十日内原路返还。</w:t>
      </w:r>
    </w:p>
    <w:p w14:paraId="4D10D7F1">
      <w:pPr>
        <w:spacing w:line="400" w:lineRule="exact"/>
        <w:ind w:firstLine="480" w:firstLineChars="200"/>
        <w:textAlignment w:val="baseline"/>
        <w:rPr>
          <w:b w:val="0"/>
          <w:bCs/>
          <w:sz w:val="24"/>
        </w:rPr>
      </w:pPr>
      <w:r>
        <w:rPr>
          <w:rFonts w:hint="eastAsia"/>
          <w:b w:val="0"/>
          <w:bCs/>
          <w:sz w:val="24"/>
        </w:rPr>
        <w:t>第二十二条  拍卖标的无人竞买，报名竞买该标的的竞买人承担保证金20%的违约金，从保证金中扣除。请竞买人慎重对待。</w:t>
      </w:r>
    </w:p>
    <w:p w14:paraId="20476AEF">
      <w:pPr>
        <w:spacing w:line="400" w:lineRule="exact"/>
        <w:ind w:firstLine="3360" w:firstLineChars="1400"/>
        <w:textAlignment w:val="baseline"/>
        <w:rPr>
          <w:b w:val="0"/>
          <w:bCs/>
          <w:sz w:val="24"/>
        </w:rPr>
      </w:pPr>
      <w:r>
        <w:rPr>
          <w:rFonts w:hint="eastAsia"/>
          <w:b w:val="0"/>
          <w:bCs/>
          <w:sz w:val="24"/>
        </w:rPr>
        <w:t>第六章标的交接</w:t>
      </w:r>
    </w:p>
    <w:p w14:paraId="5C8AA203">
      <w:pPr>
        <w:snapToGrid w:val="0"/>
        <w:spacing w:line="400" w:lineRule="exact"/>
        <w:ind w:firstLine="470" w:firstLineChars="196"/>
        <w:textAlignment w:val="baseline"/>
        <w:rPr>
          <w:b w:val="0"/>
          <w:bCs/>
          <w:sz w:val="24"/>
        </w:rPr>
      </w:pPr>
      <w:r>
        <w:rPr>
          <w:rFonts w:hint="eastAsia"/>
          <w:b w:val="0"/>
          <w:bCs/>
          <w:sz w:val="24"/>
        </w:rPr>
        <w:t>第二十三条 买受人须于拍卖会三日内交齐全部成交款和佣金，之后协商确定时间，委托人与买受人办理交接手续。</w:t>
      </w:r>
    </w:p>
    <w:p w14:paraId="37382CFB">
      <w:pPr>
        <w:pStyle w:val="2"/>
        <w:snapToGrid w:val="0"/>
        <w:spacing w:after="0" w:line="400" w:lineRule="exact"/>
        <w:ind w:firstLine="3645" w:firstLineChars="1519"/>
        <w:jc w:val="left"/>
        <w:textAlignment w:val="baseline"/>
        <w:rPr>
          <w:b w:val="0"/>
          <w:bCs/>
          <w:sz w:val="24"/>
        </w:rPr>
      </w:pPr>
      <w:r>
        <w:rPr>
          <w:rFonts w:hint="eastAsia"/>
          <w:b w:val="0"/>
          <w:bCs/>
          <w:sz w:val="24"/>
        </w:rPr>
        <w:t>第七章  其他</w:t>
      </w:r>
    </w:p>
    <w:p w14:paraId="43B5AAB8">
      <w:pPr>
        <w:pStyle w:val="2"/>
        <w:snapToGrid w:val="0"/>
        <w:spacing w:after="0" w:line="400" w:lineRule="exact"/>
        <w:ind w:firstLine="480"/>
        <w:jc w:val="left"/>
        <w:textAlignment w:val="baseline"/>
        <w:rPr>
          <w:b w:val="0"/>
          <w:bCs/>
          <w:sz w:val="24"/>
        </w:rPr>
      </w:pPr>
      <w:r>
        <w:rPr>
          <w:rFonts w:hint="eastAsia"/>
          <w:b w:val="0"/>
          <w:bCs/>
          <w:sz w:val="24"/>
        </w:rPr>
        <w:t xml:space="preserve">第二十四条 本次拍卖会邀请委托人监督。 </w:t>
      </w:r>
    </w:p>
    <w:p w14:paraId="11473389">
      <w:pPr>
        <w:pStyle w:val="2"/>
        <w:snapToGrid w:val="0"/>
        <w:spacing w:after="0" w:line="400" w:lineRule="exact"/>
        <w:ind w:firstLine="480"/>
        <w:jc w:val="left"/>
        <w:textAlignment w:val="baseline"/>
        <w:rPr>
          <w:b w:val="0"/>
          <w:bCs/>
          <w:sz w:val="24"/>
        </w:rPr>
      </w:pPr>
      <w:r>
        <w:rPr>
          <w:rFonts w:hint="eastAsia"/>
          <w:b w:val="0"/>
          <w:bCs/>
          <w:sz w:val="24"/>
        </w:rPr>
        <w:t>第二十五条 竞买人必须认真阅读本须知，避免造成过失或损失。</w:t>
      </w:r>
    </w:p>
    <w:p w14:paraId="66AA63A3">
      <w:pPr>
        <w:pStyle w:val="3"/>
        <w:widowControl/>
        <w:snapToGrid w:val="0"/>
        <w:spacing w:line="400" w:lineRule="exact"/>
        <w:ind w:firstLine="470" w:firstLineChars="196"/>
        <w:jc w:val="left"/>
        <w:textAlignment w:val="baseline"/>
        <w:rPr>
          <w:rFonts w:eastAsia="宋体"/>
          <w:b w:val="0"/>
          <w:bCs/>
        </w:rPr>
      </w:pPr>
      <w:r>
        <w:rPr>
          <w:rFonts w:hint="eastAsia" w:eastAsia="宋体"/>
          <w:b w:val="0"/>
          <w:bCs/>
        </w:rPr>
        <w:t xml:space="preserve">第二十六条 竞买人阅读、了解、认可本须知的，请签名。 </w:t>
      </w:r>
    </w:p>
    <w:p w14:paraId="2FF421D3">
      <w:pPr>
        <w:spacing w:line="400" w:lineRule="exact"/>
        <w:ind w:firstLine="480" w:firstLineChars="200"/>
        <w:textAlignment w:val="baseline"/>
        <w:rPr>
          <w:b w:val="0"/>
          <w:bCs/>
          <w:sz w:val="24"/>
        </w:rPr>
      </w:pPr>
      <w:r>
        <w:rPr>
          <w:rFonts w:hint="eastAsia"/>
          <w:b w:val="0"/>
          <w:bCs/>
          <w:sz w:val="24"/>
        </w:rPr>
        <w:t>竞买人已认真阅读本场拍卖会的竞买须知及拍品名录，并承诺遵守竞买须知中相关规定，相关法律责任，同意上述条款并认可该标的的实际现状和现有手续，自愿承担所有风险和瑕疵。</w:t>
      </w:r>
    </w:p>
    <w:p w14:paraId="363699D3">
      <w:pPr>
        <w:pStyle w:val="3"/>
        <w:widowControl/>
        <w:snapToGrid w:val="0"/>
        <w:spacing w:line="400" w:lineRule="exact"/>
        <w:ind w:firstLine="6480" w:firstLineChars="2700"/>
        <w:jc w:val="left"/>
        <w:textAlignment w:val="baseline"/>
        <w:rPr>
          <w:rFonts w:ascii="仿宋_GB2312" w:eastAsia="仿宋_GB2312"/>
          <w:b w:val="0"/>
          <w:bCs/>
        </w:rPr>
      </w:pPr>
      <w:r>
        <w:rPr>
          <w:rFonts w:hint="eastAsia" w:eastAsia="宋体"/>
          <w:b w:val="0"/>
          <w:bCs/>
        </w:rPr>
        <w:t>辽宁万典拍卖有限公司</w:t>
      </w:r>
    </w:p>
    <w:p w14:paraId="1CD31E9C">
      <w:pPr>
        <w:spacing w:line="360" w:lineRule="auto"/>
        <w:ind w:firstLine="480" w:firstLineChars="200"/>
        <w:textAlignment w:val="baseline"/>
        <w:rPr>
          <w:rFonts w:ascii="仿宋_GB2312" w:eastAsia="仿宋_GB2312"/>
          <w:sz w:val="24"/>
        </w:rPr>
      </w:pPr>
      <w:r>
        <w:rPr>
          <w:rFonts w:hint="eastAsia" w:ascii="仿宋_GB2312" w:eastAsia="仿宋_GB2312"/>
          <w:sz w:val="24"/>
        </w:rPr>
        <w:t>竞买人已收悉本场拍卖会的标的资产，已知悉、理解、确认和承诺遵守上述标的资产文件全部内容规定，并承担一切法律责任。竞买人签署上述文件后，方可办理网上报名。</w:t>
      </w:r>
    </w:p>
    <w:p w14:paraId="137AE778">
      <w:pPr>
        <w:spacing w:line="360" w:lineRule="auto"/>
        <w:textAlignment w:val="baseline"/>
        <w:rPr>
          <w:rFonts w:ascii="仿宋_GB2312" w:eastAsia="仿宋_GB2312"/>
          <w:sz w:val="24"/>
        </w:rPr>
      </w:pPr>
      <w:r>
        <w:rPr>
          <w:rFonts w:hint="eastAsia" w:ascii="仿宋_GB2312" w:eastAsia="仿宋_GB2312"/>
          <w:sz w:val="24"/>
        </w:rPr>
        <w:t>竞买人签字确认：           竞价号牌：             年    月   日</w:t>
      </w:r>
    </w:p>
    <w:p w14:paraId="7001533D">
      <w:pPr>
        <w:spacing w:line="360" w:lineRule="auto"/>
        <w:ind w:firstLine="720" w:firstLineChars="300"/>
        <w:textAlignment w:val="baseline"/>
        <w:rPr>
          <w:rFonts w:ascii="仿宋_GB2312" w:eastAsia="仿宋_GB2312"/>
          <w:sz w:val="24"/>
        </w:rPr>
      </w:pPr>
    </w:p>
    <w:p w14:paraId="5075A28D">
      <w:pPr>
        <w:textAlignment w:val="baseline"/>
        <w:rPr>
          <w:sz w:val="20"/>
        </w:rPr>
      </w:pPr>
      <w:r>
        <w:rPr>
          <w:rFonts w:hint="eastAsia" w:ascii="仿宋_GB2312" w:eastAsia="仿宋_GB2312"/>
          <w:sz w:val="24"/>
        </w:rPr>
        <w:t xml:space="preserve"> 竞买人未签字确认，不可参与竞买。</w:t>
      </w:r>
      <w:r>
        <w:rPr>
          <w:rFonts w:hint="eastAsia" w:ascii="宋体" w:hAnsi="宋体"/>
          <w:b/>
        </w:rPr>
        <w:t xml:space="preserve"> </w:t>
      </w:r>
    </w:p>
    <w:sectPr>
      <w:headerReference r:id="rId3" w:type="default"/>
      <w:footerReference r:id="rId4" w:type="default"/>
      <w:pgSz w:w="11906" w:h="16838"/>
      <w:pgMar w:top="624" w:right="1080" w:bottom="79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D61DA">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C63CD">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AC63CD">
                    <w:pPr>
                      <w:pStyle w:val="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63B68">
    <w:pPr>
      <w:pStyle w:val="5"/>
    </w:pPr>
    <w:r>
      <w:pict>
        <v:shape id="PowerPlusWaterMarkObject119058" o:spid="_x0000_s4097" o:spt="136" type="#_x0000_t136" style="position:absolute;left:0pt;height:152.7pt;width:536.35pt;mso-position-horizontal:center;mso-position-horizontal-relative:margin;mso-position-vertical:center;mso-position-vertical-relative:margin;rotation:-2949120f;z-index:-251656192;mso-width-relative:page;mso-height-relative:page;" fillcolor="#C0C0C0" filled="t" stroked="f" coordsize="21600,21600">
          <v:path/>
          <v:fill on="t" opacity="32768f" focussize="0,0"/>
          <v:stroke on="f"/>
          <v:imagedata o:title=""/>
          <o:lock v:ext="edit" aspectratio="t"/>
          <v:textpath on="t" fitshape="t" fitpath="t" trim="t" xscale="f" string="万典拍卖"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1FAD9B"/>
    <w:multiLevelType w:val="singleLevel"/>
    <w:tmpl w:val="B71FAD9B"/>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M2U0YjRjYzhkMjdiMWMwNjhlYmNhMDdlODFkNmYifQ=="/>
  </w:docVars>
  <w:rsids>
    <w:rsidRoot w:val="078220F0"/>
    <w:rsid w:val="004A1B70"/>
    <w:rsid w:val="00675DB5"/>
    <w:rsid w:val="008F6058"/>
    <w:rsid w:val="00A50BE5"/>
    <w:rsid w:val="00B50F52"/>
    <w:rsid w:val="00B826B0"/>
    <w:rsid w:val="00DF3B02"/>
    <w:rsid w:val="032A232C"/>
    <w:rsid w:val="0417084A"/>
    <w:rsid w:val="04FD64DF"/>
    <w:rsid w:val="07297F08"/>
    <w:rsid w:val="078220F0"/>
    <w:rsid w:val="078567C9"/>
    <w:rsid w:val="086F73B8"/>
    <w:rsid w:val="08DA38DE"/>
    <w:rsid w:val="08E0066E"/>
    <w:rsid w:val="0976200D"/>
    <w:rsid w:val="09A83632"/>
    <w:rsid w:val="0A2B239C"/>
    <w:rsid w:val="0A7D1246"/>
    <w:rsid w:val="0AC17159"/>
    <w:rsid w:val="0B1C09E0"/>
    <w:rsid w:val="0BE87727"/>
    <w:rsid w:val="0BEC1DE1"/>
    <w:rsid w:val="0C9E21EF"/>
    <w:rsid w:val="0DC16D74"/>
    <w:rsid w:val="0DC962BB"/>
    <w:rsid w:val="0EFF3C92"/>
    <w:rsid w:val="115C4781"/>
    <w:rsid w:val="138F5C2D"/>
    <w:rsid w:val="14725594"/>
    <w:rsid w:val="14F659F0"/>
    <w:rsid w:val="151C6F6C"/>
    <w:rsid w:val="16233A14"/>
    <w:rsid w:val="171D2D68"/>
    <w:rsid w:val="178C09C0"/>
    <w:rsid w:val="19550262"/>
    <w:rsid w:val="1A3430EE"/>
    <w:rsid w:val="1BEB1B35"/>
    <w:rsid w:val="1E10510C"/>
    <w:rsid w:val="1E6F47C7"/>
    <w:rsid w:val="1F1F29D1"/>
    <w:rsid w:val="1F6D7C2E"/>
    <w:rsid w:val="201363E5"/>
    <w:rsid w:val="2185446F"/>
    <w:rsid w:val="21967280"/>
    <w:rsid w:val="22BC3C4A"/>
    <w:rsid w:val="245F0E94"/>
    <w:rsid w:val="24B94F0E"/>
    <w:rsid w:val="265B44FA"/>
    <w:rsid w:val="265F7C0E"/>
    <w:rsid w:val="26A25A71"/>
    <w:rsid w:val="27B06153"/>
    <w:rsid w:val="27C83888"/>
    <w:rsid w:val="28DF17A9"/>
    <w:rsid w:val="2975049F"/>
    <w:rsid w:val="2AC56BCB"/>
    <w:rsid w:val="2ADD76F6"/>
    <w:rsid w:val="2BB46A50"/>
    <w:rsid w:val="2BE30EA6"/>
    <w:rsid w:val="2C9B2E5F"/>
    <w:rsid w:val="2CF73970"/>
    <w:rsid w:val="2D801B9E"/>
    <w:rsid w:val="2EC22CEB"/>
    <w:rsid w:val="30940CDC"/>
    <w:rsid w:val="310F2E8F"/>
    <w:rsid w:val="31F118EC"/>
    <w:rsid w:val="32481059"/>
    <w:rsid w:val="33DF33A9"/>
    <w:rsid w:val="340A51A6"/>
    <w:rsid w:val="35535A03"/>
    <w:rsid w:val="3765564F"/>
    <w:rsid w:val="37FF5357"/>
    <w:rsid w:val="3B0E062B"/>
    <w:rsid w:val="3C1F2D19"/>
    <w:rsid w:val="3D576817"/>
    <w:rsid w:val="3D9C4C66"/>
    <w:rsid w:val="3DE75819"/>
    <w:rsid w:val="3ED0073C"/>
    <w:rsid w:val="40281367"/>
    <w:rsid w:val="40ED20A7"/>
    <w:rsid w:val="41115FEB"/>
    <w:rsid w:val="43365669"/>
    <w:rsid w:val="44435907"/>
    <w:rsid w:val="44E81CFA"/>
    <w:rsid w:val="46665AE5"/>
    <w:rsid w:val="479A7693"/>
    <w:rsid w:val="47F117E2"/>
    <w:rsid w:val="48E92A52"/>
    <w:rsid w:val="49F73B76"/>
    <w:rsid w:val="4AAB60D6"/>
    <w:rsid w:val="4B3F131B"/>
    <w:rsid w:val="4D957B9B"/>
    <w:rsid w:val="4E452218"/>
    <w:rsid w:val="4EF57DEA"/>
    <w:rsid w:val="4FB001A1"/>
    <w:rsid w:val="4FC47EDE"/>
    <w:rsid w:val="50D376AA"/>
    <w:rsid w:val="54705111"/>
    <w:rsid w:val="54737864"/>
    <w:rsid w:val="54933E90"/>
    <w:rsid w:val="55580A6E"/>
    <w:rsid w:val="55916EA3"/>
    <w:rsid w:val="55EC2C79"/>
    <w:rsid w:val="56920BF5"/>
    <w:rsid w:val="56D620A2"/>
    <w:rsid w:val="5796014D"/>
    <w:rsid w:val="59930166"/>
    <w:rsid w:val="59AB645B"/>
    <w:rsid w:val="59F2302E"/>
    <w:rsid w:val="5A8356CE"/>
    <w:rsid w:val="5B270688"/>
    <w:rsid w:val="5C0A37FA"/>
    <w:rsid w:val="5D0367CF"/>
    <w:rsid w:val="5DFB1242"/>
    <w:rsid w:val="5E8B535F"/>
    <w:rsid w:val="5F7A4878"/>
    <w:rsid w:val="60A63B1E"/>
    <w:rsid w:val="60B046A5"/>
    <w:rsid w:val="60C248C1"/>
    <w:rsid w:val="6107768B"/>
    <w:rsid w:val="64227D5E"/>
    <w:rsid w:val="645D0B32"/>
    <w:rsid w:val="64684E46"/>
    <w:rsid w:val="67446B51"/>
    <w:rsid w:val="67C90A1A"/>
    <w:rsid w:val="67D82E77"/>
    <w:rsid w:val="694C3BB1"/>
    <w:rsid w:val="6983376D"/>
    <w:rsid w:val="69A1185B"/>
    <w:rsid w:val="6AF10C75"/>
    <w:rsid w:val="6AF32815"/>
    <w:rsid w:val="6B3E08F8"/>
    <w:rsid w:val="6BAF0BCF"/>
    <w:rsid w:val="6E7409DF"/>
    <w:rsid w:val="6E8B73F8"/>
    <w:rsid w:val="70B03F14"/>
    <w:rsid w:val="70F45D79"/>
    <w:rsid w:val="71391C7E"/>
    <w:rsid w:val="71F3599C"/>
    <w:rsid w:val="72037883"/>
    <w:rsid w:val="72073714"/>
    <w:rsid w:val="733A76FD"/>
    <w:rsid w:val="74157715"/>
    <w:rsid w:val="749B03D4"/>
    <w:rsid w:val="75593034"/>
    <w:rsid w:val="756B54BF"/>
    <w:rsid w:val="76130751"/>
    <w:rsid w:val="794D7C53"/>
    <w:rsid w:val="7A02513B"/>
    <w:rsid w:val="7B096536"/>
    <w:rsid w:val="7B2944FC"/>
    <w:rsid w:val="7C12209E"/>
    <w:rsid w:val="7DCB2AB6"/>
    <w:rsid w:val="7DDF606A"/>
    <w:rsid w:val="7FCC2504"/>
    <w:rsid w:val="9A7D7CD9"/>
    <w:rsid w:val="DE3729F8"/>
    <w:rsid w:val="EEDBCD7C"/>
    <w:rsid w:val="F3B77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spacing w:line="480" w:lineRule="exact"/>
      <w:ind w:firstLine="480" w:firstLineChars="200"/>
    </w:pPr>
    <w:rPr>
      <w:rFonts w:eastAsia="楷体_GB2312"/>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2147</Words>
  <Characters>2228</Characters>
  <Lines>17</Lines>
  <Paragraphs>4</Paragraphs>
  <TotalTime>14</TotalTime>
  <ScaleCrop>false</ScaleCrop>
  <LinksUpToDate>false</LinksUpToDate>
  <CharactersWithSpaces>2338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2020-03-26T16:29:00Z</dcterms:created>
  <dc:creator>Administrator</dc:creator>
  <cp:lastModifiedBy>张欢</cp:lastModifiedBy>
  <cp:lastPrinted>2020-08-21T14:30:00Z</cp:lastPrinted>
  <dcterms:modified xsi:type="dcterms:W3CDTF">2026-04-29T02:18:04Z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A81B44AE4DE74EBE908B0224A5904018</vt:lpwstr>
  </property>
  <property fmtid="{D5CDD505-2E9C-101B-9397-08002B2CF9AE}" pid="4" name="KSOTemplateDocerSaveRecord">
    <vt:lpwstr>eyJoZGlkIjoiNTdjZGUxMmFlNGVhNDIyNWFmMjRhNTdkYzM3NGMwZGUiLCJ1c2VySWQiOiIxNjUwNzQ4NzUzIn0=</vt:lpwstr>
  </property>
</Properties>
</file>