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84DE1">
      <w:pPr>
        <w:pStyle w:val="2"/>
        <w:jc w:val="center"/>
      </w:pPr>
      <w:bookmarkStart w:id="6" w:name="_GoBack"/>
      <w:bookmarkEnd w:id="6"/>
      <w:bookmarkStart w:id="0" w:name="_Toc11499"/>
      <w:bookmarkStart w:id="1" w:name="_Toc43547775"/>
      <w:r>
        <w:t>2.4</w:t>
      </w:r>
      <w:r>
        <w:rPr>
          <w:rFonts w:hint="eastAsia"/>
        </w:rPr>
        <w:t>服务价格明细表</w:t>
      </w:r>
      <w:bookmarkEnd w:id="0"/>
      <w:bookmarkEnd w:id="1"/>
    </w:p>
    <w:p w14:paraId="7B189C58">
      <w:pPr>
        <w:adjustRightInd w:val="0"/>
        <w:snapToGrid w:val="0"/>
        <w:spacing w:line="360" w:lineRule="auto"/>
        <w:ind w:right="105" w:rightChars="50" w:firstLine="843" w:firstLineChars="400"/>
        <w:jc w:val="left"/>
        <w:rPr>
          <w:rFonts w:ascii="仿宋" w:eastAsia="仿宋" w:cs="仿宋_GB2312"/>
          <w:b/>
          <w:bCs/>
          <w:szCs w:val="21"/>
        </w:rPr>
      </w:pPr>
      <w:r>
        <w:rPr>
          <w:rFonts w:hint="eastAsia" w:ascii="仿宋" w:hAnsi="仿宋" w:cs="仿宋_GB2312"/>
          <w:b/>
          <w:bCs/>
          <w:szCs w:val="21"/>
        </w:rPr>
        <w:t>包号：</w:t>
      </w:r>
      <w:r>
        <w:rPr>
          <w:rFonts w:ascii="仿宋" w:hAnsi="仿宋" w:cs="仿宋_GB2312"/>
          <w:b/>
          <w:bCs/>
          <w:szCs w:val="21"/>
        </w:rPr>
        <w:t xml:space="preserve">01                                            </w:t>
      </w:r>
      <w:r>
        <w:rPr>
          <w:rFonts w:hint="eastAsia" w:ascii="仿宋" w:hAnsi="仿宋" w:cs="仿宋_GB2312"/>
          <w:b/>
          <w:bCs/>
          <w:szCs w:val="21"/>
        </w:rPr>
        <w:t>报价单位：元</w:t>
      </w:r>
    </w:p>
    <w:tbl>
      <w:tblPr>
        <w:tblStyle w:val="6"/>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701"/>
        <w:gridCol w:w="2835"/>
        <w:gridCol w:w="851"/>
        <w:gridCol w:w="1701"/>
        <w:gridCol w:w="714"/>
      </w:tblGrid>
      <w:tr w14:paraId="031A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30" w:type="dxa"/>
            <w:vAlign w:val="center"/>
          </w:tcPr>
          <w:p w14:paraId="147E2AF8">
            <w:pPr>
              <w:adjustRightInd w:val="0"/>
              <w:snapToGrid w:val="0"/>
              <w:ind w:left="-65" w:leftChars="-31" w:right="-46" w:rightChars="-22"/>
              <w:jc w:val="center"/>
              <w:rPr>
                <w:rFonts w:ascii="仿宋" w:eastAsia="仿宋" w:cs="仿宋_GB2312"/>
                <w:szCs w:val="21"/>
              </w:rPr>
            </w:pPr>
            <w:r>
              <w:rPr>
                <w:rFonts w:hint="eastAsia" w:ascii="仿宋" w:hAnsi="仿宋" w:cs="仿宋_GB2312"/>
                <w:szCs w:val="21"/>
              </w:rPr>
              <w:t>序号</w:t>
            </w:r>
          </w:p>
        </w:tc>
        <w:tc>
          <w:tcPr>
            <w:tcW w:w="1701" w:type="dxa"/>
            <w:vAlign w:val="center"/>
          </w:tcPr>
          <w:p w14:paraId="5A4FFCDE">
            <w:pPr>
              <w:adjustRightInd w:val="0"/>
              <w:snapToGrid w:val="0"/>
              <w:ind w:left="-65" w:leftChars="-31" w:right="-46" w:rightChars="-22"/>
              <w:jc w:val="center"/>
              <w:rPr>
                <w:rFonts w:ascii="仿宋" w:eastAsia="仿宋" w:cs="仿宋_GB2312"/>
                <w:szCs w:val="21"/>
              </w:rPr>
            </w:pPr>
            <w:r>
              <w:rPr>
                <w:rFonts w:hint="eastAsia" w:ascii="仿宋" w:hAnsi="仿宋" w:cs="仿宋_GB2312"/>
                <w:szCs w:val="21"/>
              </w:rPr>
              <w:t>类别（公里数）</w:t>
            </w:r>
          </w:p>
        </w:tc>
        <w:tc>
          <w:tcPr>
            <w:tcW w:w="2835" w:type="dxa"/>
            <w:vAlign w:val="center"/>
          </w:tcPr>
          <w:p w14:paraId="24F5BBE1">
            <w:pPr>
              <w:adjustRightInd w:val="0"/>
              <w:snapToGrid w:val="0"/>
              <w:ind w:left="-65" w:leftChars="-31" w:right="-46" w:rightChars="-22"/>
              <w:jc w:val="center"/>
              <w:rPr>
                <w:rFonts w:ascii="仿宋" w:eastAsia="仿宋" w:cs="仿宋_GB2312"/>
                <w:szCs w:val="21"/>
              </w:rPr>
            </w:pPr>
            <w:r>
              <w:rPr>
                <w:rFonts w:hint="eastAsia" w:ascii="仿宋" w:hAnsi="仿宋" w:cs="仿宋_GB2312"/>
                <w:szCs w:val="21"/>
              </w:rPr>
              <w:t>人数</w:t>
            </w:r>
            <w:r>
              <w:rPr>
                <w:rFonts w:ascii="仿宋" w:hAnsi="仿宋" w:cs="仿宋_GB2312"/>
                <w:szCs w:val="21"/>
              </w:rPr>
              <w:t>*</w:t>
            </w:r>
            <w:r>
              <w:rPr>
                <w:rFonts w:hint="eastAsia" w:ascii="仿宋" w:hAnsi="仿宋" w:cs="仿宋_GB2312"/>
                <w:szCs w:val="21"/>
              </w:rPr>
              <w:t>天数</w:t>
            </w:r>
          </w:p>
        </w:tc>
        <w:tc>
          <w:tcPr>
            <w:tcW w:w="851" w:type="dxa"/>
            <w:vAlign w:val="center"/>
          </w:tcPr>
          <w:p w14:paraId="6C7D67ED">
            <w:pPr>
              <w:adjustRightInd w:val="0"/>
              <w:snapToGrid w:val="0"/>
              <w:ind w:left="-65" w:leftChars="-31" w:right="-46" w:rightChars="-22"/>
              <w:jc w:val="center"/>
              <w:rPr>
                <w:rFonts w:ascii="仿宋" w:eastAsia="仿宋" w:cs="仿宋_GB2312"/>
                <w:szCs w:val="21"/>
              </w:rPr>
            </w:pPr>
            <w:r>
              <w:rPr>
                <w:rFonts w:hint="eastAsia" w:ascii="仿宋" w:hAnsi="仿宋" w:cs="仿宋_GB2312"/>
                <w:szCs w:val="21"/>
              </w:rPr>
              <w:t>单价</w:t>
            </w:r>
          </w:p>
        </w:tc>
        <w:tc>
          <w:tcPr>
            <w:tcW w:w="1701" w:type="dxa"/>
            <w:vAlign w:val="center"/>
          </w:tcPr>
          <w:p w14:paraId="061549DC">
            <w:pPr>
              <w:adjustRightInd w:val="0"/>
              <w:snapToGrid w:val="0"/>
              <w:ind w:left="-65" w:leftChars="-31" w:right="-46" w:rightChars="-22"/>
              <w:jc w:val="center"/>
              <w:rPr>
                <w:rFonts w:ascii="仿宋" w:eastAsia="仿宋" w:cs="仿宋_GB2312"/>
                <w:szCs w:val="21"/>
              </w:rPr>
            </w:pPr>
            <w:r>
              <w:rPr>
                <w:rFonts w:hint="eastAsia" w:ascii="仿宋" w:hAnsi="仿宋" w:cs="仿宋_GB2312"/>
                <w:szCs w:val="21"/>
              </w:rPr>
              <w:t>总价</w:t>
            </w:r>
          </w:p>
        </w:tc>
        <w:tc>
          <w:tcPr>
            <w:tcW w:w="714" w:type="dxa"/>
            <w:vAlign w:val="center"/>
          </w:tcPr>
          <w:p w14:paraId="2F680E4B">
            <w:pPr>
              <w:adjustRightInd w:val="0"/>
              <w:snapToGrid w:val="0"/>
              <w:ind w:left="-65" w:leftChars="-31" w:right="-46" w:rightChars="-22"/>
              <w:jc w:val="center"/>
              <w:rPr>
                <w:rFonts w:ascii="仿宋" w:eastAsia="仿宋" w:cs="仿宋_GB2312"/>
                <w:szCs w:val="21"/>
              </w:rPr>
            </w:pPr>
            <w:r>
              <w:rPr>
                <w:rFonts w:hint="eastAsia" w:ascii="仿宋" w:hAnsi="仿宋" w:cs="仿宋_GB2312"/>
                <w:szCs w:val="21"/>
              </w:rPr>
              <w:t>备注</w:t>
            </w:r>
          </w:p>
        </w:tc>
      </w:tr>
      <w:tr w14:paraId="629D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30" w:type="dxa"/>
            <w:vAlign w:val="center"/>
          </w:tcPr>
          <w:p w14:paraId="2BFC8447">
            <w:pPr>
              <w:adjustRightInd w:val="0"/>
              <w:snapToGrid w:val="0"/>
              <w:ind w:right="105" w:rightChars="50"/>
              <w:jc w:val="center"/>
              <w:rPr>
                <w:rFonts w:ascii="仿宋" w:eastAsia="仿宋" w:cs="仿宋_GB2312"/>
                <w:szCs w:val="21"/>
              </w:rPr>
            </w:pPr>
            <w:r>
              <w:rPr>
                <w:rFonts w:ascii="仿宋" w:hAnsi="仿宋" w:cs="仿宋_GB2312"/>
                <w:szCs w:val="21"/>
              </w:rPr>
              <w:t>1</w:t>
            </w:r>
          </w:p>
        </w:tc>
        <w:tc>
          <w:tcPr>
            <w:tcW w:w="1701" w:type="dxa"/>
            <w:vAlign w:val="center"/>
          </w:tcPr>
          <w:p w14:paraId="63F3FD45">
            <w:pPr>
              <w:adjustRightInd w:val="0"/>
              <w:snapToGrid w:val="0"/>
              <w:ind w:right="105" w:rightChars="50"/>
              <w:jc w:val="center"/>
              <w:rPr>
                <w:rFonts w:ascii="仿宋" w:eastAsia="仿宋" w:cs="仿宋_GB2312"/>
                <w:sz w:val="24"/>
                <w:szCs w:val="24"/>
              </w:rPr>
            </w:pPr>
            <w:r>
              <w:rPr>
                <w:rFonts w:ascii="仿宋" w:hAnsi="仿宋" w:cs="仿宋_GB2312"/>
                <w:sz w:val="24"/>
                <w:szCs w:val="24"/>
              </w:rPr>
              <w:t>3</w:t>
            </w:r>
            <w:r>
              <w:rPr>
                <w:rFonts w:hint="eastAsia" w:ascii="仿宋" w:hAnsi="仿宋" w:cs="仿宋_GB2312"/>
                <w:sz w:val="24"/>
                <w:szCs w:val="24"/>
              </w:rPr>
              <w:t>公里</w:t>
            </w:r>
          </w:p>
        </w:tc>
        <w:tc>
          <w:tcPr>
            <w:tcW w:w="2835" w:type="dxa"/>
            <w:vAlign w:val="center"/>
          </w:tcPr>
          <w:p w14:paraId="47EB53E6">
            <w:pPr>
              <w:adjustRightInd w:val="0"/>
              <w:snapToGrid w:val="0"/>
              <w:ind w:right="105" w:rightChars="50"/>
              <w:jc w:val="center"/>
              <w:rPr>
                <w:rFonts w:ascii="仿宋" w:eastAsia="仿宋" w:cs="仿宋_GB2312"/>
                <w:sz w:val="24"/>
                <w:szCs w:val="24"/>
              </w:rPr>
            </w:pPr>
            <w:r>
              <w:rPr>
                <w:rFonts w:ascii="仿宋" w:hAnsi="仿宋" w:cs="仿宋_GB2312"/>
                <w:sz w:val="24"/>
                <w:szCs w:val="24"/>
              </w:rPr>
              <w:t>372*190</w:t>
            </w:r>
          </w:p>
        </w:tc>
        <w:tc>
          <w:tcPr>
            <w:tcW w:w="851" w:type="dxa"/>
            <w:vAlign w:val="center"/>
          </w:tcPr>
          <w:p w14:paraId="1732BF55">
            <w:pPr>
              <w:adjustRightInd w:val="0"/>
              <w:snapToGrid w:val="0"/>
              <w:ind w:right="105" w:rightChars="50"/>
              <w:jc w:val="center"/>
              <w:rPr>
                <w:rFonts w:ascii="仿宋" w:eastAsia="仿宋" w:cs="仿宋_GB2312"/>
                <w:szCs w:val="21"/>
              </w:rPr>
            </w:pPr>
            <w:r>
              <w:rPr>
                <w:rFonts w:ascii="仿宋" w:hAnsi="仿宋" w:cs="仿宋_GB2312"/>
                <w:szCs w:val="21"/>
              </w:rPr>
              <w:t>5</w:t>
            </w:r>
          </w:p>
        </w:tc>
        <w:tc>
          <w:tcPr>
            <w:tcW w:w="1701" w:type="dxa"/>
            <w:vAlign w:val="center"/>
          </w:tcPr>
          <w:p w14:paraId="3AB69B98">
            <w:pPr>
              <w:adjustRightInd w:val="0"/>
              <w:snapToGrid w:val="0"/>
              <w:ind w:right="105" w:rightChars="50"/>
              <w:jc w:val="center"/>
              <w:rPr>
                <w:rFonts w:ascii="仿宋" w:eastAsia="仿宋" w:cs="仿宋_GB2312"/>
                <w:szCs w:val="21"/>
              </w:rPr>
            </w:pPr>
            <w:r>
              <w:rPr>
                <w:rFonts w:ascii="仿宋" w:hAnsi="仿宋" w:cs="仿宋_GB2312"/>
                <w:szCs w:val="21"/>
              </w:rPr>
              <w:t>353,400.00</w:t>
            </w:r>
          </w:p>
        </w:tc>
        <w:tc>
          <w:tcPr>
            <w:tcW w:w="714" w:type="dxa"/>
          </w:tcPr>
          <w:p w14:paraId="70001166">
            <w:pPr>
              <w:adjustRightInd w:val="0"/>
              <w:snapToGrid w:val="0"/>
              <w:ind w:right="105" w:rightChars="50"/>
              <w:jc w:val="center"/>
              <w:rPr>
                <w:rFonts w:ascii="仿宋" w:eastAsia="仿宋" w:cs="仿宋_GB2312"/>
                <w:szCs w:val="21"/>
              </w:rPr>
            </w:pPr>
          </w:p>
        </w:tc>
      </w:tr>
      <w:tr w14:paraId="22A0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30" w:type="dxa"/>
            <w:vAlign w:val="center"/>
          </w:tcPr>
          <w:p w14:paraId="406A3A22">
            <w:pPr>
              <w:adjustRightInd w:val="0"/>
              <w:snapToGrid w:val="0"/>
              <w:ind w:right="105" w:rightChars="50"/>
              <w:jc w:val="center"/>
              <w:rPr>
                <w:rFonts w:ascii="仿宋" w:eastAsia="仿宋" w:cs="仿宋_GB2312"/>
                <w:szCs w:val="21"/>
              </w:rPr>
            </w:pPr>
            <w:r>
              <w:rPr>
                <w:rFonts w:ascii="仿宋" w:hAnsi="仿宋" w:cs="仿宋_GB2312"/>
                <w:szCs w:val="21"/>
              </w:rPr>
              <w:t>2</w:t>
            </w:r>
          </w:p>
        </w:tc>
        <w:tc>
          <w:tcPr>
            <w:tcW w:w="1701" w:type="dxa"/>
            <w:vAlign w:val="center"/>
          </w:tcPr>
          <w:p w14:paraId="38E1DB33">
            <w:pPr>
              <w:adjustRightInd w:val="0"/>
              <w:snapToGrid w:val="0"/>
              <w:ind w:right="105" w:rightChars="50"/>
              <w:jc w:val="center"/>
              <w:rPr>
                <w:rFonts w:ascii="仿宋" w:eastAsia="仿宋" w:cs="仿宋_GB2312"/>
                <w:sz w:val="24"/>
                <w:szCs w:val="24"/>
              </w:rPr>
            </w:pPr>
            <w:r>
              <w:rPr>
                <w:rFonts w:ascii="仿宋" w:hAnsi="仿宋" w:cs="仿宋_GB2312"/>
                <w:sz w:val="24"/>
                <w:szCs w:val="24"/>
              </w:rPr>
              <w:t>3-5</w:t>
            </w:r>
            <w:r>
              <w:rPr>
                <w:rFonts w:hint="eastAsia" w:ascii="仿宋" w:hAnsi="仿宋" w:cs="仿宋_GB2312"/>
                <w:sz w:val="24"/>
                <w:szCs w:val="24"/>
              </w:rPr>
              <w:t>公里</w:t>
            </w:r>
          </w:p>
        </w:tc>
        <w:tc>
          <w:tcPr>
            <w:tcW w:w="2835" w:type="dxa"/>
            <w:vAlign w:val="center"/>
          </w:tcPr>
          <w:p w14:paraId="69C10568">
            <w:pPr>
              <w:adjustRightInd w:val="0"/>
              <w:snapToGrid w:val="0"/>
              <w:ind w:right="105" w:rightChars="50"/>
              <w:jc w:val="center"/>
              <w:rPr>
                <w:rFonts w:ascii="仿宋" w:eastAsia="仿宋" w:cs="仿宋_GB2312"/>
                <w:sz w:val="24"/>
                <w:szCs w:val="24"/>
              </w:rPr>
            </w:pPr>
            <w:r>
              <w:rPr>
                <w:rFonts w:ascii="仿宋" w:hAnsi="仿宋" w:cs="仿宋_GB2312"/>
                <w:sz w:val="24"/>
                <w:szCs w:val="24"/>
              </w:rPr>
              <w:t>426*190</w:t>
            </w:r>
          </w:p>
        </w:tc>
        <w:tc>
          <w:tcPr>
            <w:tcW w:w="851" w:type="dxa"/>
            <w:vAlign w:val="center"/>
          </w:tcPr>
          <w:p w14:paraId="20A621FA">
            <w:pPr>
              <w:adjustRightInd w:val="0"/>
              <w:snapToGrid w:val="0"/>
              <w:ind w:right="105" w:rightChars="50"/>
              <w:jc w:val="center"/>
              <w:rPr>
                <w:rFonts w:ascii="仿宋" w:eastAsia="仿宋" w:cs="仿宋_GB2312"/>
                <w:szCs w:val="21"/>
              </w:rPr>
            </w:pPr>
            <w:r>
              <w:rPr>
                <w:rFonts w:ascii="仿宋" w:hAnsi="仿宋" w:cs="仿宋_GB2312"/>
                <w:szCs w:val="21"/>
              </w:rPr>
              <w:t>5</w:t>
            </w:r>
          </w:p>
        </w:tc>
        <w:tc>
          <w:tcPr>
            <w:tcW w:w="1701" w:type="dxa"/>
            <w:vAlign w:val="center"/>
          </w:tcPr>
          <w:p w14:paraId="58DB92F7">
            <w:pPr>
              <w:adjustRightInd w:val="0"/>
              <w:snapToGrid w:val="0"/>
              <w:ind w:right="105" w:rightChars="50"/>
              <w:jc w:val="center"/>
              <w:rPr>
                <w:rFonts w:ascii="仿宋" w:eastAsia="仿宋" w:cs="仿宋_GB2312"/>
                <w:szCs w:val="21"/>
              </w:rPr>
            </w:pPr>
            <w:r>
              <w:rPr>
                <w:rFonts w:ascii="仿宋" w:hAnsi="仿宋" w:cs="仿宋_GB2312"/>
                <w:szCs w:val="21"/>
              </w:rPr>
              <w:t>404,700.00</w:t>
            </w:r>
          </w:p>
        </w:tc>
        <w:tc>
          <w:tcPr>
            <w:tcW w:w="714" w:type="dxa"/>
          </w:tcPr>
          <w:p w14:paraId="20896960">
            <w:pPr>
              <w:adjustRightInd w:val="0"/>
              <w:snapToGrid w:val="0"/>
              <w:ind w:right="105" w:rightChars="50"/>
              <w:jc w:val="center"/>
              <w:rPr>
                <w:rFonts w:ascii="仿宋" w:eastAsia="仿宋" w:cs="仿宋_GB2312"/>
                <w:szCs w:val="21"/>
              </w:rPr>
            </w:pPr>
          </w:p>
        </w:tc>
      </w:tr>
      <w:tr w14:paraId="233D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30" w:type="dxa"/>
            <w:vAlign w:val="center"/>
          </w:tcPr>
          <w:p w14:paraId="0D0F5E91">
            <w:pPr>
              <w:adjustRightInd w:val="0"/>
              <w:snapToGrid w:val="0"/>
              <w:ind w:right="105" w:rightChars="50"/>
              <w:jc w:val="center"/>
              <w:rPr>
                <w:rFonts w:ascii="仿宋" w:eastAsia="仿宋" w:cs="仿宋_GB2312"/>
                <w:szCs w:val="21"/>
              </w:rPr>
            </w:pPr>
            <w:r>
              <w:rPr>
                <w:rFonts w:ascii="仿宋" w:hAnsi="仿宋" w:cs="仿宋_GB2312"/>
                <w:szCs w:val="21"/>
              </w:rPr>
              <w:t>3</w:t>
            </w:r>
          </w:p>
        </w:tc>
        <w:tc>
          <w:tcPr>
            <w:tcW w:w="1701" w:type="dxa"/>
            <w:vAlign w:val="center"/>
          </w:tcPr>
          <w:p w14:paraId="4287C155">
            <w:pPr>
              <w:adjustRightInd w:val="0"/>
              <w:snapToGrid w:val="0"/>
              <w:ind w:right="105" w:rightChars="50"/>
              <w:jc w:val="center"/>
              <w:rPr>
                <w:rFonts w:ascii="仿宋" w:eastAsia="仿宋" w:cs="仿宋_GB2312"/>
                <w:sz w:val="24"/>
                <w:szCs w:val="24"/>
              </w:rPr>
            </w:pPr>
            <w:r>
              <w:rPr>
                <w:rFonts w:ascii="仿宋" w:hAnsi="仿宋" w:cs="仿宋_GB2312"/>
                <w:sz w:val="24"/>
                <w:szCs w:val="24"/>
              </w:rPr>
              <w:t>5-8</w:t>
            </w:r>
            <w:r>
              <w:rPr>
                <w:rFonts w:hint="eastAsia" w:ascii="仿宋" w:hAnsi="仿宋" w:cs="仿宋_GB2312"/>
                <w:sz w:val="24"/>
                <w:szCs w:val="24"/>
              </w:rPr>
              <w:t>公里</w:t>
            </w:r>
          </w:p>
        </w:tc>
        <w:tc>
          <w:tcPr>
            <w:tcW w:w="2835" w:type="dxa"/>
            <w:vAlign w:val="center"/>
          </w:tcPr>
          <w:p w14:paraId="7016A1DA">
            <w:pPr>
              <w:adjustRightInd w:val="0"/>
              <w:snapToGrid w:val="0"/>
              <w:ind w:right="105" w:rightChars="50"/>
              <w:jc w:val="center"/>
              <w:rPr>
                <w:rFonts w:ascii="仿宋" w:eastAsia="仿宋" w:cs="仿宋_GB2312"/>
                <w:sz w:val="24"/>
                <w:szCs w:val="24"/>
              </w:rPr>
            </w:pPr>
            <w:r>
              <w:rPr>
                <w:rFonts w:ascii="仿宋" w:hAnsi="仿宋" w:cs="仿宋_GB2312"/>
                <w:sz w:val="24"/>
                <w:szCs w:val="24"/>
              </w:rPr>
              <w:t>507*190</w:t>
            </w:r>
          </w:p>
        </w:tc>
        <w:tc>
          <w:tcPr>
            <w:tcW w:w="851" w:type="dxa"/>
            <w:vAlign w:val="center"/>
          </w:tcPr>
          <w:p w14:paraId="4CC9478A">
            <w:pPr>
              <w:adjustRightInd w:val="0"/>
              <w:snapToGrid w:val="0"/>
              <w:ind w:right="105" w:rightChars="50"/>
              <w:jc w:val="center"/>
              <w:rPr>
                <w:rFonts w:ascii="仿宋" w:eastAsia="仿宋" w:cs="仿宋_GB2312"/>
                <w:szCs w:val="21"/>
              </w:rPr>
            </w:pPr>
            <w:r>
              <w:rPr>
                <w:rFonts w:ascii="仿宋" w:hAnsi="仿宋" w:cs="仿宋_GB2312"/>
                <w:szCs w:val="21"/>
              </w:rPr>
              <w:t>6</w:t>
            </w:r>
          </w:p>
        </w:tc>
        <w:tc>
          <w:tcPr>
            <w:tcW w:w="1701" w:type="dxa"/>
            <w:vAlign w:val="center"/>
          </w:tcPr>
          <w:p w14:paraId="42E762EC">
            <w:pPr>
              <w:adjustRightInd w:val="0"/>
              <w:snapToGrid w:val="0"/>
              <w:ind w:right="105" w:rightChars="50"/>
              <w:jc w:val="center"/>
              <w:rPr>
                <w:rFonts w:ascii="仿宋" w:eastAsia="仿宋" w:cs="仿宋_GB2312"/>
                <w:szCs w:val="21"/>
              </w:rPr>
            </w:pPr>
            <w:r>
              <w:rPr>
                <w:rFonts w:ascii="仿宋" w:hAnsi="仿宋" w:cs="仿宋_GB2312"/>
                <w:szCs w:val="21"/>
              </w:rPr>
              <w:t>577,980.00</w:t>
            </w:r>
          </w:p>
        </w:tc>
        <w:tc>
          <w:tcPr>
            <w:tcW w:w="714" w:type="dxa"/>
          </w:tcPr>
          <w:p w14:paraId="595EC909">
            <w:pPr>
              <w:adjustRightInd w:val="0"/>
              <w:snapToGrid w:val="0"/>
              <w:ind w:right="105" w:rightChars="50"/>
              <w:jc w:val="center"/>
              <w:rPr>
                <w:rFonts w:ascii="仿宋" w:eastAsia="仿宋" w:cs="仿宋_GB2312"/>
                <w:szCs w:val="21"/>
              </w:rPr>
            </w:pPr>
          </w:p>
        </w:tc>
      </w:tr>
      <w:tr w14:paraId="2FE2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30" w:type="dxa"/>
            <w:vAlign w:val="center"/>
          </w:tcPr>
          <w:p w14:paraId="3D7CD461">
            <w:pPr>
              <w:adjustRightInd w:val="0"/>
              <w:snapToGrid w:val="0"/>
              <w:ind w:right="105" w:rightChars="50"/>
              <w:jc w:val="center"/>
              <w:rPr>
                <w:rFonts w:ascii="仿宋" w:eastAsia="仿宋" w:cs="仿宋_GB2312"/>
                <w:szCs w:val="21"/>
              </w:rPr>
            </w:pPr>
            <w:r>
              <w:rPr>
                <w:rFonts w:ascii="仿宋" w:hAnsi="仿宋" w:cs="仿宋_GB2312"/>
                <w:szCs w:val="21"/>
              </w:rPr>
              <w:t>4</w:t>
            </w:r>
          </w:p>
        </w:tc>
        <w:tc>
          <w:tcPr>
            <w:tcW w:w="1701" w:type="dxa"/>
            <w:vAlign w:val="center"/>
          </w:tcPr>
          <w:p w14:paraId="4EBF0A1B">
            <w:pPr>
              <w:adjustRightInd w:val="0"/>
              <w:snapToGrid w:val="0"/>
              <w:ind w:right="105" w:rightChars="50"/>
              <w:jc w:val="center"/>
              <w:rPr>
                <w:rFonts w:ascii="仿宋" w:eastAsia="仿宋" w:cs="仿宋_GB2312"/>
                <w:sz w:val="24"/>
                <w:szCs w:val="24"/>
              </w:rPr>
            </w:pPr>
            <w:r>
              <w:rPr>
                <w:rFonts w:ascii="仿宋" w:hAnsi="仿宋" w:cs="仿宋_GB2312"/>
                <w:sz w:val="24"/>
                <w:szCs w:val="24"/>
              </w:rPr>
              <w:t>8-10</w:t>
            </w:r>
            <w:r>
              <w:rPr>
                <w:rFonts w:hint="eastAsia" w:ascii="仿宋" w:hAnsi="仿宋" w:cs="仿宋_GB2312"/>
                <w:sz w:val="24"/>
                <w:szCs w:val="24"/>
              </w:rPr>
              <w:t>公里</w:t>
            </w:r>
          </w:p>
        </w:tc>
        <w:tc>
          <w:tcPr>
            <w:tcW w:w="2835" w:type="dxa"/>
            <w:vAlign w:val="center"/>
          </w:tcPr>
          <w:p w14:paraId="0929C4A6">
            <w:pPr>
              <w:adjustRightInd w:val="0"/>
              <w:snapToGrid w:val="0"/>
              <w:ind w:right="105" w:rightChars="50"/>
              <w:jc w:val="center"/>
              <w:rPr>
                <w:rFonts w:ascii="仿宋" w:eastAsia="仿宋" w:cs="仿宋_GB2312"/>
                <w:sz w:val="24"/>
                <w:szCs w:val="24"/>
              </w:rPr>
            </w:pPr>
            <w:r>
              <w:rPr>
                <w:rFonts w:ascii="仿宋" w:hAnsi="仿宋" w:cs="仿宋_GB2312"/>
                <w:sz w:val="24"/>
                <w:szCs w:val="24"/>
              </w:rPr>
              <w:t>238*190</w:t>
            </w:r>
          </w:p>
        </w:tc>
        <w:tc>
          <w:tcPr>
            <w:tcW w:w="851" w:type="dxa"/>
            <w:vAlign w:val="center"/>
          </w:tcPr>
          <w:p w14:paraId="0CBB927C">
            <w:pPr>
              <w:adjustRightInd w:val="0"/>
              <w:snapToGrid w:val="0"/>
              <w:ind w:right="105" w:rightChars="50"/>
              <w:jc w:val="center"/>
              <w:rPr>
                <w:rFonts w:ascii="仿宋" w:eastAsia="仿宋" w:cs="仿宋_GB2312"/>
                <w:szCs w:val="21"/>
              </w:rPr>
            </w:pPr>
            <w:r>
              <w:rPr>
                <w:rFonts w:ascii="仿宋" w:hAnsi="仿宋" w:cs="仿宋_GB2312"/>
                <w:szCs w:val="21"/>
              </w:rPr>
              <w:t>7</w:t>
            </w:r>
          </w:p>
        </w:tc>
        <w:tc>
          <w:tcPr>
            <w:tcW w:w="1701" w:type="dxa"/>
            <w:vAlign w:val="center"/>
          </w:tcPr>
          <w:p w14:paraId="77AE0B0F">
            <w:pPr>
              <w:adjustRightInd w:val="0"/>
              <w:snapToGrid w:val="0"/>
              <w:ind w:right="105" w:rightChars="50"/>
              <w:jc w:val="center"/>
              <w:rPr>
                <w:rFonts w:ascii="仿宋" w:eastAsia="仿宋" w:cs="仿宋_GB2312"/>
                <w:szCs w:val="21"/>
              </w:rPr>
            </w:pPr>
            <w:r>
              <w:rPr>
                <w:rFonts w:ascii="仿宋" w:hAnsi="仿宋" w:cs="仿宋_GB2312"/>
                <w:szCs w:val="21"/>
              </w:rPr>
              <w:t>316,540.00</w:t>
            </w:r>
          </w:p>
        </w:tc>
        <w:tc>
          <w:tcPr>
            <w:tcW w:w="714" w:type="dxa"/>
          </w:tcPr>
          <w:p w14:paraId="597CE295">
            <w:pPr>
              <w:adjustRightInd w:val="0"/>
              <w:snapToGrid w:val="0"/>
              <w:ind w:right="105" w:rightChars="50"/>
              <w:jc w:val="center"/>
              <w:rPr>
                <w:rFonts w:ascii="仿宋" w:eastAsia="仿宋" w:cs="仿宋_GB2312"/>
                <w:szCs w:val="21"/>
              </w:rPr>
            </w:pPr>
          </w:p>
        </w:tc>
      </w:tr>
      <w:tr w14:paraId="6621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30" w:type="dxa"/>
            <w:vAlign w:val="center"/>
          </w:tcPr>
          <w:p w14:paraId="7F7618F3">
            <w:pPr>
              <w:adjustRightInd w:val="0"/>
              <w:snapToGrid w:val="0"/>
              <w:ind w:right="105" w:rightChars="50"/>
              <w:jc w:val="center"/>
              <w:rPr>
                <w:rFonts w:ascii="仿宋" w:eastAsia="仿宋" w:cs="仿宋_GB2312"/>
                <w:szCs w:val="21"/>
              </w:rPr>
            </w:pPr>
            <w:r>
              <w:rPr>
                <w:rFonts w:ascii="仿宋" w:hAnsi="仿宋" w:cs="仿宋_GB2312"/>
                <w:szCs w:val="21"/>
              </w:rPr>
              <w:t>5</w:t>
            </w:r>
          </w:p>
        </w:tc>
        <w:tc>
          <w:tcPr>
            <w:tcW w:w="1701" w:type="dxa"/>
            <w:vAlign w:val="center"/>
          </w:tcPr>
          <w:p w14:paraId="0FBFC10B">
            <w:pPr>
              <w:adjustRightInd w:val="0"/>
              <w:snapToGrid w:val="0"/>
              <w:ind w:right="105" w:rightChars="50"/>
              <w:jc w:val="center"/>
              <w:rPr>
                <w:rFonts w:ascii="仿宋" w:eastAsia="仿宋" w:cs="仿宋_GB2312"/>
                <w:sz w:val="24"/>
                <w:szCs w:val="24"/>
              </w:rPr>
            </w:pPr>
            <w:r>
              <w:rPr>
                <w:rFonts w:ascii="仿宋" w:hAnsi="仿宋" w:cs="仿宋_GB2312"/>
                <w:sz w:val="24"/>
                <w:szCs w:val="24"/>
              </w:rPr>
              <w:t>10</w:t>
            </w:r>
            <w:r>
              <w:rPr>
                <w:rFonts w:hint="eastAsia" w:ascii="仿宋" w:hAnsi="仿宋" w:cs="仿宋_GB2312"/>
                <w:sz w:val="24"/>
                <w:szCs w:val="24"/>
              </w:rPr>
              <w:t>公里以上</w:t>
            </w:r>
          </w:p>
        </w:tc>
        <w:tc>
          <w:tcPr>
            <w:tcW w:w="2835" w:type="dxa"/>
            <w:vAlign w:val="center"/>
          </w:tcPr>
          <w:p w14:paraId="551853FD">
            <w:pPr>
              <w:adjustRightInd w:val="0"/>
              <w:snapToGrid w:val="0"/>
              <w:ind w:right="105" w:rightChars="50"/>
              <w:jc w:val="center"/>
              <w:rPr>
                <w:rFonts w:ascii="仿宋" w:eastAsia="仿宋" w:cs="仿宋_GB2312"/>
                <w:sz w:val="24"/>
                <w:szCs w:val="24"/>
              </w:rPr>
            </w:pPr>
            <w:r>
              <w:rPr>
                <w:rFonts w:ascii="仿宋" w:hAnsi="仿宋" w:cs="仿宋_GB2312"/>
                <w:sz w:val="24"/>
                <w:szCs w:val="24"/>
              </w:rPr>
              <w:t>149*190</w:t>
            </w:r>
          </w:p>
        </w:tc>
        <w:tc>
          <w:tcPr>
            <w:tcW w:w="851" w:type="dxa"/>
            <w:vAlign w:val="center"/>
          </w:tcPr>
          <w:p w14:paraId="64ECB490">
            <w:pPr>
              <w:adjustRightInd w:val="0"/>
              <w:snapToGrid w:val="0"/>
              <w:ind w:right="105" w:rightChars="50"/>
              <w:jc w:val="center"/>
              <w:rPr>
                <w:rFonts w:ascii="仿宋" w:eastAsia="仿宋" w:cs="仿宋_GB2312"/>
                <w:szCs w:val="21"/>
              </w:rPr>
            </w:pPr>
            <w:r>
              <w:rPr>
                <w:rFonts w:ascii="仿宋" w:hAnsi="仿宋" w:cs="仿宋_GB2312"/>
                <w:szCs w:val="21"/>
              </w:rPr>
              <w:t>8</w:t>
            </w:r>
          </w:p>
        </w:tc>
        <w:tc>
          <w:tcPr>
            <w:tcW w:w="1701" w:type="dxa"/>
            <w:vAlign w:val="center"/>
          </w:tcPr>
          <w:p w14:paraId="1B6E548F">
            <w:pPr>
              <w:adjustRightInd w:val="0"/>
              <w:snapToGrid w:val="0"/>
              <w:ind w:right="105" w:rightChars="50"/>
              <w:jc w:val="center"/>
              <w:rPr>
                <w:rFonts w:ascii="仿宋" w:eastAsia="仿宋" w:cs="仿宋_GB2312"/>
                <w:szCs w:val="21"/>
              </w:rPr>
            </w:pPr>
            <w:r>
              <w:rPr>
                <w:rFonts w:ascii="仿宋" w:hAnsi="仿宋" w:cs="仿宋_GB2312"/>
                <w:szCs w:val="21"/>
              </w:rPr>
              <w:t>226,480.00</w:t>
            </w:r>
          </w:p>
        </w:tc>
        <w:tc>
          <w:tcPr>
            <w:tcW w:w="714" w:type="dxa"/>
          </w:tcPr>
          <w:p w14:paraId="3D44417F">
            <w:pPr>
              <w:adjustRightInd w:val="0"/>
              <w:snapToGrid w:val="0"/>
              <w:ind w:right="105" w:rightChars="50"/>
              <w:jc w:val="center"/>
              <w:rPr>
                <w:rFonts w:ascii="仿宋" w:eastAsia="仿宋" w:cs="仿宋_GB2312"/>
                <w:szCs w:val="21"/>
              </w:rPr>
            </w:pPr>
          </w:p>
        </w:tc>
      </w:tr>
      <w:tr w14:paraId="6E21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30" w:type="dxa"/>
            <w:vAlign w:val="center"/>
          </w:tcPr>
          <w:p w14:paraId="1C480E6E">
            <w:pPr>
              <w:adjustRightInd w:val="0"/>
              <w:snapToGrid w:val="0"/>
              <w:ind w:right="105" w:rightChars="50"/>
              <w:jc w:val="center"/>
              <w:rPr>
                <w:rFonts w:ascii="仿宋" w:eastAsia="仿宋" w:cs="仿宋_GB2312"/>
                <w:szCs w:val="21"/>
              </w:rPr>
            </w:pPr>
            <w:r>
              <w:rPr>
                <w:rFonts w:ascii="仿宋" w:hAnsi="仿宋" w:cs="仿宋_GB2312"/>
                <w:szCs w:val="21"/>
              </w:rPr>
              <w:t>6</w:t>
            </w:r>
          </w:p>
        </w:tc>
        <w:tc>
          <w:tcPr>
            <w:tcW w:w="1701" w:type="dxa"/>
            <w:vAlign w:val="center"/>
          </w:tcPr>
          <w:p w14:paraId="469A4463">
            <w:pPr>
              <w:adjustRightInd w:val="0"/>
              <w:snapToGrid w:val="0"/>
              <w:ind w:right="105" w:rightChars="50"/>
              <w:jc w:val="center"/>
              <w:rPr>
                <w:rFonts w:ascii="仿宋" w:eastAsia="仿宋" w:cs="仿宋_GB2312"/>
                <w:sz w:val="24"/>
                <w:szCs w:val="24"/>
              </w:rPr>
            </w:pPr>
            <w:r>
              <w:rPr>
                <w:rFonts w:hint="eastAsia" w:ascii="仿宋" w:hAnsi="仿宋" w:cs="仿宋_GB2312"/>
                <w:sz w:val="24"/>
                <w:szCs w:val="24"/>
              </w:rPr>
              <w:t>补贴款</w:t>
            </w:r>
          </w:p>
        </w:tc>
        <w:tc>
          <w:tcPr>
            <w:tcW w:w="2835" w:type="dxa"/>
            <w:vAlign w:val="center"/>
          </w:tcPr>
          <w:p w14:paraId="0802DF95">
            <w:pPr>
              <w:adjustRightInd w:val="0"/>
              <w:snapToGrid w:val="0"/>
              <w:ind w:right="105" w:rightChars="50"/>
              <w:jc w:val="center"/>
              <w:rPr>
                <w:rFonts w:ascii="仿宋" w:eastAsia="仿宋" w:cs="仿宋_GB2312"/>
                <w:szCs w:val="21"/>
              </w:rPr>
            </w:pPr>
            <w:r>
              <w:rPr>
                <w:rFonts w:ascii="仿宋" w:hAnsi="仿宋" w:cs="仿宋_GB2312"/>
                <w:szCs w:val="21"/>
                <w:u w:val="single"/>
              </w:rPr>
              <w:t>24</w:t>
            </w:r>
            <w:r>
              <w:rPr>
                <w:rFonts w:hint="eastAsia" w:ascii="仿宋" w:hAnsi="仿宋" w:cs="仿宋_GB2312"/>
                <w:szCs w:val="21"/>
              </w:rPr>
              <w:t>车</w:t>
            </w:r>
            <w:r>
              <w:rPr>
                <w:rFonts w:ascii="仿宋" w:hAnsi="仿宋" w:cs="仿宋_GB2312"/>
                <w:szCs w:val="21"/>
                <w:u w:val="single"/>
              </w:rPr>
              <w:t>190</w:t>
            </w:r>
            <w:r>
              <w:rPr>
                <w:rFonts w:hint="eastAsia" w:ascii="仿宋" w:hAnsi="仿宋" w:cs="仿宋_GB2312"/>
                <w:szCs w:val="21"/>
              </w:rPr>
              <w:t>趟</w:t>
            </w:r>
            <w:r>
              <w:rPr>
                <w:rFonts w:ascii="仿宋" w:hAnsi="仿宋" w:cs="仿宋_GB2312"/>
                <w:szCs w:val="21"/>
                <w:u w:val="single"/>
              </w:rPr>
              <w:t>35</w:t>
            </w:r>
            <w:r>
              <w:rPr>
                <w:rFonts w:hint="eastAsia" w:ascii="仿宋" w:hAnsi="仿宋" w:cs="仿宋_GB2312"/>
                <w:szCs w:val="21"/>
              </w:rPr>
              <w:t>座</w:t>
            </w:r>
          </w:p>
        </w:tc>
        <w:tc>
          <w:tcPr>
            <w:tcW w:w="851" w:type="dxa"/>
            <w:vAlign w:val="center"/>
          </w:tcPr>
          <w:p w14:paraId="26842CD6">
            <w:pPr>
              <w:adjustRightInd w:val="0"/>
              <w:snapToGrid w:val="0"/>
              <w:ind w:right="105" w:rightChars="50"/>
              <w:jc w:val="center"/>
              <w:rPr>
                <w:rFonts w:ascii="仿宋" w:eastAsia="仿宋" w:cs="仿宋_GB2312"/>
                <w:szCs w:val="21"/>
              </w:rPr>
            </w:pPr>
            <w:r>
              <w:rPr>
                <w:rFonts w:ascii="仿宋" w:hAnsi="仿宋" w:cs="仿宋_GB2312"/>
                <w:szCs w:val="21"/>
              </w:rPr>
              <w:t>2.03</w:t>
            </w:r>
          </w:p>
        </w:tc>
        <w:tc>
          <w:tcPr>
            <w:tcW w:w="1701" w:type="dxa"/>
            <w:vAlign w:val="center"/>
          </w:tcPr>
          <w:p w14:paraId="3B25D5F4">
            <w:pPr>
              <w:adjustRightInd w:val="0"/>
              <w:snapToGrid w:val="0"/>
              <w:ind w:right="105" w:rightChars="50"/>
              <w:jc w:val="center"/>
              <w:rPr>
                <w:rFonts w:ascii="仿宋" w:eastAsia="仿宋" w:cs="仿宋_GB2312"/>
                <w:szCs w:val="21"/>
              </w:rPr>
            </w:pPr>
            <w:r>
              <w:rPr>
                <w:rFonts w:ascii="仿宋" w:hAnsi="仿宋" w:cs="仿宋_GB2312"/>
                <w:szCs w:val="21"/>
              </w:rPr>
              <w:t>323,988.00</w:t>
            </w:r>
          </w:p>
        </w:tc>
        <w:tc>
          <w:tcPr>
            <w:tcW w:w="714" w:type="dxa"/>
          </w:tcPr>
          <w:p w14:paraId="577BFAA6">
            <w:pPr>
              <w:adjustRightInd w:val="0"/>
              <w:snapToGrid w:val="0"/>
              <w:ind w:right="105" w:rightChars="50"/>
              <w:jc w:val="center"/>
              <w:rPr>
                <w:rFonts w:ascii="仿宋" w:eastAsia="仿宋" w:cs="仿宋_GB2312"/>
                <w:szCs w:val="21"/>
              </w:rPr>
            </w:pPr>
          </w:p>
        </w:tc>
      </w:tr>
      <w:tr w14:paraId="283B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017" w:type="dxa"/>
            <w:gridSpan w:val="4"/>
            <w:vAlign w:val="center"/>
          </w:tcPr>
          <w:p w14:paraId="217F418C">
            <w:pPr>
              <w:adjustRightInd w:val="0"/>
              <w:snapToGrid w:val="0"/>
              <w:ind w:right="105" w:rightChars="50"/>
              <w:jc w:val="center"/>
              <w:rPr>
                <w:rFonts w:ascii="仿宋" w:eastAsia="仿宋" w:cs="仿宋_GB2312"/>
                <w:szCs w:val="21"/>
              </w:rPr>
            </w:pPr>
            <w:r>
              <w:rPr>
                <w:rFonts w:hint="eastAsia" w:ascii="仿宋" w:hAnsi="仿宋" w:cs="仿宋_GB2312"/>
                <w:szCs w:val="21"/>
              </w:rPr>
              <w:t>总价</w:t>
            </w:r>
          </w:p>
        </w:tc>
        <w:tc>
          <w:tcPr>
            <w:tcW w:w="1701" w:type="dxa"/>
            <w:vAlign w:val="center"/>
          </w:tcPr>
          <w:p w14:paraId="0D2EAA23">
            <w:pPr>
              <w:adjustRightInd w:val="0"/>
              <w:snapToGrid w:val="0"/>
              <w:ind w:right="105" w:rightChars="50"/>
              <w:jc w:val="center"/>
              <w:rPr>
                <w:rFonts w:ascii="仿宋" w:eastAsia="仿宋" w:cs="仿宋_GB2312"/>
                <w:szCs w:val="21"/>
              </w:rPr>
            </w:pPr>
            <w:r>
              <w:rPr>
                <w:rFonts w:ascii="仿宋" w:hAnsi="仿宋" w:cs="仿宋_GB2312"/>
                <w:szCs w:val="21"/>
              </w:rPr>
              <w:t>2,203,088.00</w:t>
            </w:r>
          </w:p>
        </w:tc>
        <w:tc>
          <w:tcPr>
            <w:tcW w:w="714" w:type="dxa"/>
            <w:vAlign w:val="center"/>
          </w:tcPr>
          <w:p w14:paraId="59BF09AD">
            <w:pPr>
              <w:adjustRightInd w:val="0"/>
              <w:snapToGrid w:val="0"/>
              <w:ind w:right="105" w:rightChars="50"/>
              <w:jc w:val="center"/>
              <w:rPr>
                <w:rFonts w:ascii="仿宋" w:eastAsia="仿宋" w:cs="仿宋_GB2312"/>
                <w:szCs w:val="21"/>
              </w:rPr>
            </w:pPr>
          </w:p>
        </w:tc>
      </w:tr>
    </w:tbl>
    <w:p w14:paraId="17E2F840">
      <w:pPr>
        <w:adjustRightInd w:val="0"/>
        <w:snapToGrid w:val="0"/>
        <w:spacing w:line="360" w:lineRule="auto"/>
        <w:ind w:right="105" w:rightChars="50"/>
        <w:jc w:val="left"/>
        <w:rPr>
          <w:rFonts w:ascii="仿宋" w:eastAsia="仿宋" w:cs="仿宋_GB2312"/>
          <w:szCs w:val="21"/>
        </w:rPr>
      </w:pPr>
    </w:p>
    <w:p w14:paraId="7F78233D">
      <w:pPr>
        <w:autoSpaceDE w:val="0"/>
        <w:autoSpaceDN w:val="0"/>
        <w:adjustRightInd w:val="0"/>
        <w:jc w:val="left"/>
        <w:rPr>
          <w:rFonts w:ascii="宋体" w:cs="仿宋"/>
          <w:color w:val="000000"/>
          <w:kern w:val="0"/>
          <w:szCs w:val="21"/>
        </w:rPr>
      </w:pPr>
      <w:r>
        <w:rPr>
          <w:rFonts w:hint="eastAsia" w:ascii="宋体" w:hAnsi="宋体" w:cs="仿宋"/>
          <w:color w:val="000000"/>
          <w:kern w:val="0"/>
          <w:szCs w:val="21"/>
        </w:rPr>
        <w:t>注：</w:t>
      </w:r>
      <w:r>
        <w:rPr>
          <w:rFonts w:ascii="宋体" w:hAnsi="宋体" w:cs="仿宋"/>
          <w:color w:val="000000"/>
          <w:kern w:val="0"/>
          <w:szCs w:val="21"/>
        </w:rPr>
        <w:t>1.</w:t>
      </w:r>
      <w:r>
        <w:rPr>
          <w:rFonts w:hint="eastAsia" w:ascii="宋体" w:hAnsi="宋体" w:cs="仿宋"/>
          <w:color w:val="000000"/>
          <w:kern w:val="0"/>
          <w:szCs w:val="21"/>
        </w:rPr>
        <w:t>如果按单价计算的结果与总价不一致</w:t>
      </w:r>
      <w:r>
        <w:rPr>
          <w:rFonts w:ascii="宋体" w:cs="仿宋"/>
          <w:color w:val="000000"/>
          <w:kern w:val="0"/>
          <w:szCs w:val="21"/>
        </w:rPr>
        <w:t>,</w:t>
      </w:r>
      <w:r>
        <w:rPr>
          <w:rFonts w:hint="eastAsia" w:ascii="宋体" w:hAnsi="宋体" w:cs="仿宋"/>
          <w:color w:val="000000"/>
          <w:kern w:val="0"/>
          <w:szCs w:val="21"/>
        </w:rPr>
        <w:t>以单价为准修正总价。</w:t>
      </w:r>
    </w:p>
    <w:p w14:paraId="31AB2838">
      <w:pPr>
        <w:autoSpaceDE w:val="0"/>
        <w:autoSpaceDN w:val="0"/>
        <w:adjustRightInd w:val="0"/>
        <w:ind w:firstLine="420" w:firstLineChars="200"/>
        <w:jc w:val="left"/>
        <w:rPr>
          <w:rFonts w:ascii="宋体" w:cs="仿宋"/>
          <w:color w:val="000000"/>
          <w:kern w:val="0"/>
          <w:szCs w:val="21"/>
        </w:rPr>
      </w:pPr>
      <w:r>
        <w:rPr>
          <w:rFonts w:ascii="宋体" w:hAnsi="宋体" w:cs="仿宋"/>
          <w:color w:val="000000"/>
          <w:kern w:val="0"/>
          <w:szCs w:val="21"/>
        </w:rPr>
        <w:t>2.</w:t>
      </w:r>
      <w:r>
        <w:rPr>
          <w:rFonts w:hint="eastAsia" w:ascii="宋体" w:hAnsi="宋体" w:cs="仿宋"/>
          <w:color w:val="000000"/>
          <w:kern w:val="0"/>
          <w:szCs w:val="21"/>
        </w:rPr>
        <w:t>如果不提供服务价格明细表将视为没有实质性响应招标文件。</w:t>
      </w:r>
    </w:p>
    <w:p w14:paraId="2C64E5F2">
      <w:pPr>
        <w:autoSpaceDE w:val="0"/>
        <w:autoSpaceDN w:val="0"/>
        <w:adjustRightInd w:val="0"/>
        <w:ind w:firstLine="420" w:firstLineChars="200"/>
        <w:jc w:val="left"/>
        <w:rPr>
          <w:rFonts w:ascii="宋体" w:cs="仿宋"/>
          <w:color w:val="000000"/>
          <w:kern w:val="0"/>
          <w:szCs w:val="21"/>
        </w:rPr>
      </w:pPr>
      <w:r>
        <w:rPr>
          <w:rFonts w:ascii="宋体" w:hAnsi="宋体" w:cs="仿宋"/>
          <w:color w:val="000000"/>
          <w:kern w:val="0"/>
          <w:szCs w:val="21"/>
        </w:rPr>
        <w:t>3.</w:t>
      </w:r>
      <w:r>
        <w:rPr>
          <w:rFonts w:hint="eastAsia" w:ascii="宋体" w:hAnsi="宋体" w:cs="仿宋"/>
          <w:color w:val="000000"/>
          <w:kern w:val="0"/>
          <w:szCs w:val="21"/>
        </w:rPr>
        <w:t>如果开标一览表内容与投标文件中服务价格明细表内容不一致的，以开标一览表内容为准。</w:t>
      </w:r>
    </w:p>
    <w:p w14:paraId="623233F1">
      <w:pPr>
        <w:autoSpaceDE w:val="0"/>
        <w:autoSpaceDN w:val="0"/>
        <w:adjustRightInd w:val="0"/>
        <w:ind w:firstLine="420" w:firstLineChars="200"/>
        <w:jc w:val="left"/>
        <w:rPr>
          <w:rFonts w:ascii="宋体" w:cs="仿宋"/>
          <w:color w:val="000000"/>
          <w:kern w:val="0"/>
          <w:szCs w:val="21"/>
        </w:rPr>
      </w:pPr>
      <w:r>
        <w:rPr>
          <w:rFonts w:ascii="宋体" w:hAnsi="宋体" w:cs="仿宋"/>
          <w:color w:val="000000"/>
          <w:kern w:val="0"/>
          <w:szCs w:val="21"/>
        </w:rPr>
        <w:t>4.</w:t>
      </w:r>
      <w:r>
        <w:rPr>
          <w:rFonts w:hint="eastAsia" w:ascii="宋体" w:hAnsi="宋体" w:cs="仿宋"/>
          <w:color w:val="000000"/>
          <w:kern w:val="0"/>
          <w:szCs w:val="21"/>
        </w:rPr>
        <w:t>本表可根据实际情况进行拓展。</w:t>
      </w:r>
    </w:p>
    <w:p w14:paraId="6325FFED">
      <w:pPr>
        <w:adjustRightInd w:val="0"/>
        <w:snapToGrid w:val="0"/>
        <w:spacing w:line="360" w:lineRule="auto"/>
        <w:ind w:right="105" w:rightChars="50"/>
        <w:jc w:val="left"/>
        <w:rPr>
          <w:rFonts w:ascii="宋体" w:cs="仿宋_GB2312"/>
          <w:szCs w:val="21"/>
        </w:rPr>
      </w:pPr>
    </w:p>
    <w:p w14:paraId="2D897E80">
      <w:pPr>
        <w:adjustRightInd w:val="0"/>
        <w:snapToGrid w:val="0"/>
        <w:spacing w:line="360" w:lineRule="auto"/>
        <w:ind w:right="105" w:rightChars="50"/>
        <w:jc w:val="left"/>
        <w:rPr>
          <w:rFonts w:ascii="仿宋" w:eastAsia="仿宋" w:cs="仿宋_GB2312"/>
          <w:szCs w:val="21"/>
        </w:rPr>
      </w:pPr>
    </w:p>
    <w:p w14:paraId="004E1A33">
      <w:pPr>
        <w:adjustRightInd w:val="0"/>
        <w:snapToGrid w:val="0"/>
        <w:spacing w:line="360" w:lineRule="auto"/>
        <w:ind w:right="105" w:rightChars="50"/>
        <w:jc w:val="left"/>
        <w:rPr>
          <w:rFonts w:ascii="仿宋" w:eastAsia="仿宋" w:cs="仿宋_GB2312"/>
          <w:szCs w:val="21"/>
        </w:rPr>
      </w:pPr>
    </w:p>
    <w:p w14:paraId="70AECCDA">
      <w:pPr>
        <w:adjustRightInd w:val="0"/>
        <w:snapToGrid w:val="0"/>
        <w:spacing w:line="360" w:lineRule="auto"/>
        <w:ind w:right="105" w:rightChars="50"/>
        <w:jc w:val="left"/>
        <w:rPr>
          <w:rFonts w:ascii="仿宋" w:eastAsia="仿宋" w:cs="仿宋_GB2312"/>
          <w:szCs w:val="21"/>
        </w:rPr>
      </w:pPr>
    </w:p>
    <w:p w14:paraId="1A7B3F6C">
      <w:pPr>
        <w:adjustRightInd w:val="0"/>
        <w:snapToGrid w:val="0"/>
        <w:spacing w:line="360" w:lineRule="auto"/>
        <w:ind w:right="105" w:rightChars="50"/>
        <w:jc w:val="left"/>
        <w:rPr>
          <w:rFonts w:ascii="仿宋" w:eastAsia="仿宋" w:cs="仿宋_GB2312"/>
          <w:szCs w:val="21"/>
        </w:rPr>
      </w:pPr>
    </w:p>
    <w:p w14:paraId="131438CB">
      <w:pPr>
        <w:adjustRightInd w:val="0"/>
        <w:snapToGrid w:val="0"/>
        <w:spacing w:line="360" w:lineRule="auto"/>
        <w:ind w:right="105" w:rightChars="50"/>
        <w:jc w:val="left"/>
        <w:rPr>
          <w:rFonts w:ascii="仿宋" w:eastAsia="仿宋" w:cs="仿宋_GB2312"/>
          <w:szCs w:val="21"/>
        </w:rPr>
      </w:pPr>
    </w:p>
    <w:p w14:paraId="790AB7D0">
      <w:pPr>
        <w:adjustRightInd w:val="0"/>
        <w:snapToGrid w:val="0"/>
        <w:spacing w:line="360" w:lineRule="auto"/>
        <w:ind w:right="105" w:rightChars="50"/>
        <w:jc w:val="left"/>
        <w:rPr>
          <w:rFonts w:ascii="仿宋" w:eastAsia="仿宋" w:cs="仿宋_GB2312"/>
          <w:szCs w:val="21"/>
        </w:rPr>
      </w:pPr>
    </w:p>
    <w:p w14:paraId="05869A76">
      <w:pPr>
        <w:adjustRightInd w:val="0"/>
        <w:snapToGrid w:val="0"/>
        <w:spacing w:line="480" w:lineRule="auto"/>
        <w:rPr>
          <w:rFonts w:ascii="仿宋" w:eastAsia="仿宋" w:cs="仿宋_GB2312"/>
          <w:sz w:val="24"/>
          <w:szCs w:val="24"/>
        </w:rPr>
      </w:pPr>
      <w:r>
        <w:rPr>
          <w:rFonts w:hint="eastAsia" w:ascii="仿宋" w:hAnsi="仿宋" w:cs="仿宋_GB2312"/>
          <w:sz w:val="24"/>
          <w:szCs w:val="24"/>
        </w:rPr>
        <w:t>投标人名称（加盖单位公章）：</w:t>
      </w:r>
      <w:r>
        <w:rPr>
          <w:rFonts w:ascii="仿宋" w:hAnsi="仿宋" w:cs="仿宋_GB2312"/>
          <w:sz w:val="24"/>
          <w:szCs w:val="24"/>
          <w:u w:val="single"/>
        </w:rPr>
        <w:t xml:space="preserve"> </w:t>
      </w:r>
      <w:r>
        <w:rPr>
          <w:rFonts w:hint="eastAsia" w:ascii="仿宋" w:hAnsi="仿宋" w:cs="仿宋_GB2312"/>
          <w:sz w:val="24"/>
          <w:szCs w:val="24"/>
          <w:u w:val="single"/>
        </w:rPr>
        <w:t>辽宁立德树人实业集团有限公司</w:t>
      </w:r>
      <w:r>
        <w:rPr>
          <w:rFonts w:ascii="仿宋" w:hAnsi="仿宋" w:cs="仿宋_GB2312"/>
          <w:sz w:val="24"/>
          <w:szCs w:val="24"/>
          <w:u w:val="single"/>
        </w:rPr>
        <w:t xml:space="preserve"> </w:t>
      </w:r>
    </w:p>
    <w:p w14:paraId="63A06A18">
      <w:pPr>
        <w:adjustRightInd w:val="0"/>
        <w:snapToGrid w:val="0"/>
        <w:spacing w:line="480" w:lineRule="auto"/>
        <w:rPr>
          <w:rFonts w:ascii="仿宋" w:eastAsia="仿宋" w:cs="仿宋_GB2312"/>
          <w:sz w:val="24"/>
          <w:szCs w:val="24"/>
        </w:rPr>
      </w:pPr>
      <w:r>
        <w:rPr>
          <w:rFonts w:hint="eastAsia" w:ascii="仿宋" w:hAnsi="仿宋" w:cs="仿宋_GB2312"/>
          <w:sz w:val="24"/>
          <w:szCs w:val="24"/>
        </w:rPr>
        <w:t>法定代表人或其授权代表人</w:t>
      </w:r>
      <w:r>
        <w:rPr>
          <w:rFonts w:ascii="仿宋" w:hAnsi="仿宋" w:cs="仿宋_GB2312"/>
          <w:sz w:val="24"/>
          <w:szCs w:val="24"/>
        </w:rPr>
        <w:t>(</w:t>
      </w:r>
      <w:r>
        <w:rPr>
          <w:rFonts w:hint="eastAsia" w:ascii="仿宋" w:hAnsi="仿宋" w:cs="仿宋_GB2312"/>
          <w:sz w:val="24"/>
          <w:szCs w:val="24"/>
        </w:rPr>
        <w:t>签字或盖章</w:t>
      </w:r>
      <w:r>
        <w:rPr>
          <w:rFonts w:ascii="仿宋" w:hAnsi="仿宋" w:cs="仿宋_GB2312"/>
          <w:sz w:val="24"/>
          <w:szCs w:val="24"/>
        </w:rPr>
        <w:t>)</w:t>
      </w:r>
      <w:r>
        <w:rPr>
          <w:rFonts w:hint="eastAsia" w:ascii="仿宋" w:hAnsi="仿宋" w:cs="仿宋_GB2312"/>
          <w:sz w:val="24"/>
          <w:szCs w:val="24"/>
        </w:rPr>
        <w:t>：</w:t>
      </w:r>
      <w:r>
        <w:rPr>
          <w:rFonts w:ascii="仿宋" w:hAnsi="仿宋" w:cs="仿宋_GB2312"/>
          <w:sz w:val="24"/>
          <w:szCs w:val="24"/>
          <w:u w:val="single"/>
        </w:rPr>
        <w:t xml:space="preserve">                   </w:t>
      </w:r>
    </w:p>
    <w:p w14:paraId="39A942FE">
      <w:pPr>
        <w:adjustRightInd w:val="0"/>
        <w:snapToGrid w:val="0"/>
        <w:spacing w:line="360" w:lineRule="auto"/>
        <w:ind w:right="1050" w:rightChars="500"/>
        <w:rPr>
          <w:rFonts w:ascii="仿宋" w:eastAsia="仿宋" w:cs="仿宋_GB2312"/>
          <w:sz w:val="24"/>
          <w:szCs w:val="24"/>
        </w:rPr>
      </w:pPr>
      <w:r>
        <w:rPr>
          <w:rFonts w:hint="eastAsia" w:ascii="仿宋" w:hAnsi="仿宋" w:cs="仿宋_GB2312"/>
          <w:sz w:val="24"/>
          <w:szCs w:val="24"/>
        </w:rPr>
        <w:t>日期：</w:t>
      </w:r>
      <w:r>
        <w:rPr>
          <w:rFonts w:ascii="仿宋" w:hAnsi="仿宋" w:cs="仿宋_GB2312"/>
          <w:sz w:val="24"/>
          <w:szCs w:val="24"/>
          <w:u w:val="single"/>
        </w:rPr>
        <w:t xml:space="preserve"> 2020</w:t>
      </w:r>
      <w:r>
        <w:rPr>
          <w:rFonts w:hint="eastAsia" w:ascii="仿宋" w:hAnsi="仿宋" w:cs="仿宋_GB2312"/>
          <w:sz w:val="24"/>
          <w:szCs w:val="24"/>
          <w:u w:val="single"/>
        </w:rPr>
        <w:t>年</w:t>
      </w:r>
      <w:r>
        <w:rPr>
          <w:rFonts w:ascii="仿宋" w:hAnsi="仿宋" w:cs="仿宋_GB2312"/>
          <w:sz w:val="24"/>
          <w:szCs w:val="24"/>
          <w:u w:val="single"/>
        </w:rPr>
        <w:t>6</w:t>
      </w:r>
      <w:r>
        <w:rPr>
          <w:rFonts w:hint="eastAsia" w:ascii="仿宋" w:hAnsi="仿宋" w:cs="仿宋_GB2312"/>
          <w:sz w:val="24"/>
          <w:szCs w:val="24"/>
          <w:u w:val="single"/>
        </w:rPr>
        <w:t>月</w:t>
      </w:r>
      <w:r>
        <w:rPr>
          <w:rFonts w:ascii="仿宋" w:hAnsi="仿宋" w:cs="仿宋_GB2312"/>
          <w:sz w:val="24"/>
          <w:szCs w:val="24"/>
          <w:u w:val="single"/>
        </w:rPr>
        <w:t>23</w:t>
      </w:r>
      <w:r>
        <w:rPr>
          <w:rFonts w:hint="eastAsia" w:ascii="仿宋" w:hAnsi="仿宋" w:cs="仿宋_GB2312"/>
          <w:sz w:val="24"/>
          <w:szCs w:val="24"/>
          <w:u w:val="single"/>
        </w:rPr>
        <w:t>日</w:t>
      </w:r>
      <w:r>
        <w:rPr>
          <w:rFonts w:ascii="仿宋" w:hAnsi="仿宋" w:cs="仿宋_GB2312"/>
          <w:sz w:val="24"/>
          <w:szCs w:val="24"/>
          <w:u w:val="single"/>
        </w:rPr>
        <w:t xml:space="preserve"> </w:t>
      </w:r>
      <w:r>
        <w:rPr>
          <w:rFonts w:ascii="仿宋" w:hAnsi="仿宋" w:cs="仿宋_GB2312"/>
          <w:sz w:val="24"/>
          <w:szCs w:val="24"/>
        </w:rPr>
        <w:t xml:space="preserve"> </w:t>
      </w:r>
    </w:p>
    <w:p w14:paraId="4E810B1E">
      <w:pPr>
        <w:pStyle w:val="5"/>
      </w:pPr>
      <w:bookmarkStart w:id="2" w:name="_Toc31555_WPSOffice_Level2"/>
      <w:bookmarkStart w:id="3" w:name="_Toc9235_WPSOffice_Level2"/>
    </w:p>
    <w:p w14:paraId="54D0B583">
      <w:pPr>
        <w:pStyle w:val="2"/>
        <w:jc w:val="center"/>
      </w:pPr>
      <w:bookmarkStart w:id="4" w:name="_Toc23301"/>
      <w:bookmarkStart w:id="5" w:name="_Toc43547776"/>
      <w:r>
        <w:t>2.5</w:t>
      </w:r>
      <w:r>
        <w:rPr>
          <w:rFonts w:hint="eastAsia"/>
        </w:rPr>
        <w:t>服务需求响应表</w:t>
      </w:r>
      <w:bookmarkEnd w:id="2"/>
      <w:bookmarkEnd w:id="3"/>
      <w:bookmarkEnd w:id="4"/>
      <w:bookmarkEnd w:id="5"/>
    </w:p>
    <w:tbl>
      <w:tblPr>
        <w:tblStyle w:val="6"/>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2693"/>
        <w:gridCol w:w="2693"/>
        <w:gridCol w:w="425"/>
        <w:gridCol w:w="709"/>
        <w:gridCol w:w="1418"/>
      </w:tblGrid>
      <w:tr w14:paraId="62A7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8472" w:type="dxa"/>
            <w:gridSpan w:val="6"/>
            <w:vAlign w:val="center"/>
          </w:tcPr>
          <w:p w14:paraId="6EDB46DB">
            <w:pPr>
              <w:tabs>
                <w:tab w:val="left" w:pos="0"/>
              </w:tabs>
              <w:adjustRightInd w:val="0"/>
              <w:snapToGrid w:val="0"/>
              <w:rPr>
                <w:rFonts w:ascii="仿宋" w:eastAsia="仿宋" w:cs="仿宋_GB2312"/>
                <w:szCs w:val="21"/>
              </w:rPr>
            </w:pPr>
            <w:r>
              <w:rPr>
                <w:rFonts w:hint="eastAsia" w:ascii="仿宋" w:hAnsi="仿宋" w:cs="仿宋_GB2312"/>
                <w:szCs w:val="21"/>
              </w:rPr>
              <w:t>包号：</w:t>
            </w:r>
            <w:r>
              <w:rPr>
                <w:rFonts w:ascii="仿宋" w:hAnsi="仿宋" w:cs="仿宋_GB2312"/>
                <w:szCs w:val="21"/>
              </w:rPr>
              <w:t>01</w:t>
            </w:r>
            <w:r>
              <w:rPr>
                <w:rFonts w:hint="eastAsia" w:ascii="仿宋" w:hAnsi="仿宋" w:cs="仿宋_GB2312"/>
                <w:szCs w:val="21"/>
              </w:rPr>
              <w:t>包</w:t>
            </w:r>
          </w:p>
          <w:p w14:paraId="629112AB">
            <w:pPr>
              <w:tabs>
                <w:tab w:val="left" w:pos="0"/>
              </w:tabs>
              <w:adjustRightInd w:val="0"/>
              <w:snapToGrid w:val="0"/>
              <w:rPr>
                <w:rFonts w:ascii="仿宋" w:eastAsia="仿宋" w:cs="仿宋_GB2312"/>
                <w:szCs w:val="21"/>
              </w:rPr>
            </w:pPr>
            <w:r>
              <w:rPr>
                <w:rFonts w:hint="eastAsia" w:ascii="仿宋" w:hAnsi="仿宋" w:cs="仿宋_GB2312"/>
                <w:szCs w:val="21"/>
              </w:rPr>
              <w:t>服务内容：鞍山市千山区教育局校车租赁服务采购项目</w:t>
            </w:r>
          </w:p>
        </w:tc>
      </w:tr>
      <w:tr w14:paraId="7331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3227" w:type="dxa"/>
            <w:gridSpan w:val="2"/>
            <w:vAlign w:val="center"/>
          </w:tcPr>
          <w:p w14:paraId="4098DE82">
            <w:pPr>
              <w:jc w:val="center"/>
              <w:rPr>
                <w:rFonts w:ascii="仿宋" w:eastAsia="仿宋" w:cs="仿宋_GB2312"/>
                <w:szCs w:val="21"/>
              </w:rPr>
            </w:pPr>
            <w:r>
              <w:rPr>
                <w:rFonts w:hint="eastAsia" w:ascii="仿宋" w:hAnsi="仿宋" w:cs="仿宋_GB2312"/>
                <w:szCs w:val="21"/>
              </w:rPr>
              <w:t>招标文件要求</w:t>
            </w:r>
          </w:p>
          <w:p w14:paraId="2F6C22B5">
            <w:pPr>
              <w:ind w:hanging="1"/>
              <w:rPr>
                <w:rFonts w:ascii="仿宋" w:eastAsia="仿宋" w:cs="仿宋_GB2312"/>
                <w:b/>
                <w:szCs w:val="21"/>
              </w:rPr>
            </w:pPr>
            <w:r>
              <w:rPr>
                <w:rFonts w:hint="eastAsia" w:ascii="仿宋" w:hAnsi="仿宋" w:cs="仿宋_GB2312"/>
                <w:b/>
                <w:sz w:val="18"/>
                <w:szCs w:val="18"/>
              </w:rPr>
              <w:t>重要提示：实质性要求及重要指标用★标注（“★”必须标注在序号前），★标注项不得负偏离，如果负偏离，则投标文件无效。</w:t>
            </w:r>
          </w:p>
        </w:tc>
        <w:tc>
          <w:tcPr>
            <w:tcW w:w="2693" w:type="dxa"/>
            <w:vAlign w:val="center"/>
          </w:tcPr>
          <w:p w14:paraId="41A82F4B">
            <w:pPr>
              <w:jc w:val="center"/>
              <w:rPr>
                <w:rFonts w:ascii="仿宋" w:eastAsia="仿宋" w:cs="仿宋_GB2312"/>
                <w:szCs w:val="21"/>
              </w:rPr>
            </w:pPr>
            <w:r>
              <w:rPr>
                <w:rFonts w:hint="eastAsia" w:ascii="仿宋" w:hAnsi="仿宋" w:cs="仿宋_GB2312"/>
                <w:szCs w:val="21"/>
              </w:rPr>
              <w:t>投标文件</w:t>
            </w:r>
          </w:p>
          <w:p w14:paraId="3DD8E730">
            <w:pPr>
              <w:tabs>
                <w:tab w:val="left" w:pos="0"/>
              </w:tabs>
              <w:spacing w:line="240" w:lineRule="exact"/>
              <w:jc w:val="center"/>
              <w:rPr>
                <w:rFonts w:ascii="仿宋" w:eastAsia="仿宋" w:cs="仿宋_GB2312"/>
                <w:kern w:val="0"/>
                <w:szCs w:val="21"/>
              </w:rPr>
            </w:pPr>
            <w:r>
              <w:rPr>
                <w:rFonts w:hint="eastAsia" w:ascii="仿宋" w:hAnsi="仿宋" w:cs="仿宋_GB2312"/>
                <w:szCs w:val="21"/>
              </w:rPr>
              <w:t>响应内容</w:t>
            </w:r>
          </w:p>
        </w:tc>
        <w:tc>
          <w:tcPr>
            <w:tcW w:w="425" w:type="dxa"/>
            <w:vAlign w:val="center"/>
          </w:tcPr>
          <w:p w14:paraId="7577422A">
            <w:pPr>
              <w:tabs>
                <w:tab w:val="left" w:pos="-75"/>
              </w:tabs>
              <w:spacing w:line="240" w:lineRule="exact"/>
              <w:ind w:right="-57" w:rightChars="-27"/>
              <w:jc w:val="center"/>
              <w:rPr>
                <w:rFonts w:ascii="仿宋" w:eastAsia="仿宋" w:cs="仿宋_GB2312"/>
                <w:szCs w:val="21"/>
              </w:rPr>
            </w:pPr>
            <w:r>
              <w:rPr>
                <w:rFonts w:hint="eastAsia" w:ascii="仿宋" w:hAnsi="仿宋" w:cs="仿宋_GB2312"/>
                <w:szCs w:val="21"/>
              </w:rPr>
              <w:t>偏离</w:t>
            </w:r>
          </w:p>
          <w:p w14:paraId="2D17ECF0">
            <w:pPr>
              <w:tabs>
                <w:tab w:val="left" w:pos="-75"/>
              </w:tabs>
              <w:spacing w:line="240" w:lineRule="exact"/>
              <w:ind w:right="-57" w:rightChars="-27"/>
              <w:jc w:val="center"/>
              <w:rPr>
                <w:rFonts w:ascii="仿宋" w:eastAsia="仿宋" w:cs="仿宋_GB2312"/>
                <w:kern w:val="0"/>
                <w:szCs w:val="21"/>
              </w:rPr>
            </w:pPr>
            <w:r>
              <w:rPr>
                <w:rFonts w:hint="eastAsia" w:ascii="仿宋" w:hAnsi="仿宋" w:cs="仿宋_GB2312"/>
                <w:szCs w:val="21"/>
              </w:rPr>
              <w:t>程度</w:t>
            </w:r>
          </w:p>
        </w:tc>
        <w:tc>
          <w:tcPr>
            <w:tcW w:w="709" w:type="dxa"/>
            <w:vAlign w:val="center"/>
          </w:tcPr>
          <w:p w14:paraId="4F649020">
            <w:pPr>
              <w:tabs>
                <w:tab w:val="left" w:pos="-75"/>
              </w:tabs>
              <w:spacing w:line="240" w:lineRule="exact"/>
              <w:ind w:right="-57" w:rightChars="-27"/>
              <w:jc w:val="center"/>
              <w:rPr>
                <w:rFonts w:ascii="仿宋" w:eastAsia="仿宋" w:cs="仿宋_GB2312"/>
                <w:kern w:val="0"/>
                <w:szCs w:val="21"/>
              </w:rPr>
            </w:pPr>
            <w:r>
              <w:rPr>
                <w:rFonts w:hint="eastAsia" w:ascii="仿宋" w:hAnsi="仿宋" w:cs="仿宋_GB2312"/>
                <w:szCs w:val="21"/>
              </w:rPr>
              <w:t>偏离说明</w:t>
            </w:r>
          </w:p>
        </w:tc>
        <w:tc>
          <w:tcPr>
            <w:tcW w:w="1418" w:type="dxa"/>
            <w:vAlign w:val="center"/>
          </w:tcPr>
          <w:p w14:paraId="2A3A32BF">
            <w:pPr>
              <w:tabs>
                <w:tab w:val="left" w:pos="-75"/>
              </w:tabs>
              <w:spacing w:line="240" w:lineRule="exact"/>
              <w:ind w:right="-57" w:rightChars="-27"/>
              <w:jc w:val="center"/>
              <w:rPr>
                <w:rFonts w:ascii="仿宋" w:eastAsia="仿宋" w:cs="仿宋_GB2312"/>
                <w:kern w:val="0"/>
                <w:szCs w:val="21"/>
              </w:rPr>
            </w:pPr>
            <w:r>
              <w:rPr>
                <w:rFonts w:hint="eastAsia" w:ascii="仿宋" w:hAnsi="仿宋" w:cs="仿宋_GB2312"/>
                <w:szCs w:val="21"/>
              </w:rPr>
              <w:t>证明资料</w:t>
            </w:r>
          </w:p>
        </w:tc>
      </w:tr>
      <w:tr w14:paraId="3B6B4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2" w:hRule="atLeast"/>
        </w:trPr>
        <w:tc>
          <w:tcPr>
            <w:tcW w:w="534" w:type="dxa"/>
            <w:vAlign w:val="center"/>
          </w:tcPr>
          <w:p w14:paraId="2A2B895E">
            <w:pPr>
              <w:adjustRightInd w:val="0"/>
              <w:snapToGrid w:val="0"/>
              <w:contextualSpacing/>
              <w:rPr>
                <w:rFonts w:ascii="宋体" w:cs="黑体"/>
                <w:b/>
                <w:szCs w:val="21"/>
              </w:rPr>
            </w:pPr>
            <w:r>
              <w:rPr>
                <w:rFonts w:hint="eastAsia" w:ascii="宋体" w:hAnsi="宋体" w:cs="黑体"/>
                <w:b/>
                <w:szCs w:val="21"/>
              </w:rPr>
              <w:t>一、采购项目说明事项</w:t>
            </w:r>
          </w:p>
          <w:p w14:paraId="47957363">
            <w:pPr>
              <w:adjustRightInd w:val="0"/>
              <w:snapToGrid w:val="0"/>
              <w:contextualSpacing/>
              <w:rPr>
                <w:rFonts w:ascii="宋体" w:cs="黑体"/>
                <w:b/>
                <w:szCs w:val="21"/>
              </w:rPr>
            </w:pPr>
          </w:p>
          <w:p w14:paraId="5B853D2D">
            <w:pPr>
              <w:adjustRightInd w:val="0"/>
              <w:snapToGrid w:val="0"/>
              <w:ind w:left="239" w:leftChars="114" w:firstLine="210" w:firstLineChars="100"/>
              <w:contextualSpacing/>
              <w:rPr>
                <w:rFonts w:ascii="宋体" w:cs="仿宋_GB2312"/>
                <w:szCs w:val="21"/>
              </w:rPr>
            </w:pPr>
          </w:p>
        </w:tc>
        <w:tc>
          <w:tcPr>
            <w:tcW w:w="2693" w:type="dxa"/>
            <w:vAlign w:val="center"/>
          </w:tcPr>
          <w:p w14:paraId="13B1B521">
            <w:pPr>
              <w:adjustRightInd w:val="0"/>
              <w:snapToGrid w:val="0"/>
              <w:ind w:firstLine="480"/>
              <w:contextualSpacing/>
              <w:rPr>
                <w:rFonts w:ascii="宋体" w:cs="仿宋"/>
                <w:color w:val="000000"/>
                <w:szCs w:val="21"/>
              </w:rPr>
            </w:pPr>
            <w:r>
              <w:rPr>
                <w:rFonts w:hint="eastAsia" w:ascii="宋体" w:hAnsi="宋体" w:cs="仿宋"/>
                <w:color w:val="000000"/>
                <w:szCs w:val="21"/>
              </w:rPr>
              <w:t>本次采购要求供应商需提供符合国家规定标准的专业校车，即提供符合《国家校车安全管理条例》的车辆，有校车使用许可证明。</w:t>
            </w:r>
          </w:p>
          <w:p w14:paraId="5237EAA5">
            <w:pPr>
              <w:adjustRightInd w:val="0"/>
              <w:snapToGrid w:val="0"/>
              <w:ind w:firstLine="480"/>
              <w:contextualSpacing/>
              <w:rPr>
                <w:rFonts w:ascii="宋体" w:cs="仿宋"/>
                <w:b/>
                <w:color w:val="000000"/>
                <w:szCs w:val="21"/>
              </w:rPr>
            </w:pPr>
            <w:r>
              <w:rPr>
                <w:rFonts w:ascii="宋体" w:hAnsi="宋体" w:cs="仿宋"/>
                <w:b/>
                <w:color w:val="000000"/>
                <w:szCs w:val="21"/>
              </w:rPr>
              <w:t>1</w:t>
            </w:r>
            <w:r>
              <w:rPr>
                <w:rFonts w:hint="eastAsia" w:ascii="宋体" w:hAnsi="宋体" w:cs="仿宋"/>
                <w:b/>
                <w:color w:val="000000"/>
                <w:szCs w:val="21"/>
              </w:rPr>
              <w:t>、所需车辆及运营线路</w:t>
            </w:r>
          </w:p>
          <w:p w14:paraId="0349DCA3">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千山区学生上下学线路长短不一、人数不等，通过大致整合，校车运营路线大体分为</w:t>
            </w:r>
            <w:r>
              <w:rPr>
                <w:rFonts w:ascii="宋体" w:hAnsi="宋体" w:cs="仿宋"/>
                <w:color w:val="000000"/>
                <w:szCs w:val="21"/>
              </w:rPr>
              <w:t>45</w:t>
            </w:r>
            <w:r>
              <w:rPr>
                <w:rFonts w:hint="eastAsia" w:ascii="宋体" w:hAnsi="宋体" w:cs="仿宋"/>
                <w:color w:val="000000"/>
                <w:szCs w:val="21"/>
              </w:rPr>
              <w:t>条，约需标准校车</w:t>
            </w:r>
            <w:r>
              <w:rPr>
                <w:rFonts w:ascii="宋体" w:hAnsi="宋体" w:cs="仿宋"/>
                <w:color w:val="000000"/>
                <w:szCs w:val="21"/>
              </w:rPr>
              <w:t>24</w:t>
            </w:r>
            <w:r>
              <w:rPr>
                <w:rFonts w:hint="eastAsia" w:ascii="宋体" w:hAnsi="宋体" w:cs="仿宋"/>
                <w:color w:val="000000"/>
                <w:szCs w:val="21"/>
              </w:rPr>
              <w:t>辆（以试运营后确定的人数、线路、车辆数为准）。其中：</w:t>
            </w:r>
          </w:p>
          <w:p w14:paraId="350E9A29">
            <w:pPr>
              <w:numPr>
                <w:ilvl w:val="0"/>
                <w:numId w:val="1"/>
              </w:numPr>
              <w:adjustRightInd w:val="0"/>
              <w:snapToGrid w:val="0"/>
              <w:ind w:firstLine="422"/>
              <w:contextualSpacing/>
              <w:rPr>
                <w:rFonts w:ascii="宋体" w:cs="仿宋"/>
                <w:b/>
                <w:bCs/>
                <w:color w:val="000000"/>
                <w:szCs w:val="21"/>
              </w:rPr>
            </w:pPr>
            <w:r>
              <w:rPr>
                <w:rFonts w:hint="eastAsia" w:ascii="宋体" w:hAnsi="宋体" w:cs="仿宋"/>
                <w:b/>
                <w:bCs/>
                <w:color w:val="000000"/>
                <w:szCs w:val="21"/>
              </w:rPr>
              <w:t>区直学校：</w:t>
            </w:r>
          </w:p>
          <w:p w14:paraId="216949CF">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有乘车需求的学校</w:t>
            </w:r>
            <w:r>
              <w:rPr>
                <w:rFonts w:ascii="宋体" w:hAnsi="宋体" w:cs="仿宋"/>
                <w:color w:val="000000"/>
                <w:szCs w:val="21"/>
              </w:rPr>
              <w:t>1</w:t>
            </w:r>
            <w:r>
              <w:rPr>
                <w:rFonts w:hint="eastAsia" w:ascii="宋体" w:hAnsi="宋体" w:cs="仿宋"/>
                <w:color w:val="000000"/>
                <w:szCs w:val="21"/>
              </w:rPr>
              <w:t>所（旧堡小学），分</w:t>
            </w:r>
            <w:r>
              <w:rPr>
                <w:rFonts w:ascii="宋体" w:hAnsi="宋体" w:cs="仿宋"/>
                <w:color w:val="000000"/>
                <w:szCs w:val="21"/>
              </w:rPr>
              <w:t>1</w:t>
            </w:r>
            <w:r>
              <w:rPr>
                <w:rFonts w:hint="eastAsia" w:ascii="宋体" w:hAnsi="宋体" w:cs="仿宋"/>
                <w:color w:val="000000"/>
                <w:szCs w:val="21"/>
              </w:rPr>
              <w:t>条线路（腾鳌</w:t>
            </w:r>
            <w:r>
              <w:rPr>
                <w:rFonts w:ascii="宋体" w:hAnsi="宋体" w:cs="仿宋"/>
                <w:color w:val="000000"/>
                <w:szCs w:val="21"/>
              </w:rPr>
              <w:t>—</w:t>
            </w:r>
            <w:r>
              <w:rPr>
                <w:rFonts w:hint="eastAsia" w:ascii="宋体" w:hAnsi="宋体" w:cs="仿宋"/>
                <w:color w:val="000000"/>
                <w:szCs w:val="21"/>
              </w:rPr>
              <w:t>旧堡小学），需</w:t>
            </w:r>
            <w:r>
              <w:rPr>
                <w:rFonts w:ascii="宋体" w:hAnsi="宋体" w:cs="仿宋"/>
                <w:color w:val="000000"/>
                <w:szCs w:val="21"/>
              </w:rPr>
              <w:t>1</w:t>
            </w:r>
            <w:r>
              <w:rPr>
                <w:rFonts w:hint="eastAsia" w:ascii="宋体" w:hAnsi="宋体" w:cs="仿宋"/>
                <w:color w:val="000000"/>
                <w:szCs w:val="21"/>
              </w:rPr>
              <w:t>台校车。</w:t>
            </w:r>
          </w:p>
          <w:p w14:paraId="5C3C6325">
            <w:pPr>
              <w:numPr>
                <w:ilvl w:val="0"/>
                <w:numId w:val="1"/>
              </w:numPr>
              <w:adjustRightInd w:val="0"/>
              <w:snapToGrid w:val="0"/>
              <w:ind w:firstLine="422" w:firstLineChars="200"/>
              <w:contextualSpacing/>
              <w:rPr>
                <w:rFonts w:ascii="宋体" w:cs="仿宋"/>
                <w:b/>
                <w:bCs/>
                <w:color w:val="000000"/>
                <w:szCs w:val="21"/>
              </w:rPr>
            </w:pPr>
            <w:r>
              <w:rPr>
                <w:rFonts w:hint="eastAsia" w:ascii="宋体" w:hAnsi="宋体" w:cs="仿宋"/>
                <w:b/>
                <w:bCs/>
                <w:color w:val="000000"/>
                <w:szCs w:val="21"/>
              </w:rPr>
              <w:t>镇属学校：</w:t>
            </w:r>
          </w:p>
          <w:p w14:paraId="6095F83C">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w:t>
            </w:r>
            <w:r>
              <w:rPr>
                <w:rFonts w:ascii="宋体" w:hAnsi="宋体" w:cs="仿宋"/>
                <w:color w:val="000000"/>
                <w:szCs w:val="21"/>
              </w:rPr>
              <w:t>1</w:t>
            </w:r>
            <w:r>
              <w:rPr>
                <w:rFonts w:hint="eastAsia" w:ascii="宋体" w:hAnsi="宋体" w:cs="仿宋"/>
                <w:color w:val="000000"/>
                <w:szCs w:val="21"/>
              </w:rPr>
              <w:t>）东鞍山街道有乘车需求的学校</w:t>
            </w:r>
            <w:r>
              <w:rPr>
                <w:rFonts w:ascii="宋体" w:hAnsi="宋体" w:cs="仿宋"/>
                <w:color w:val="000000"/>
                <w:szCs w:val="21"/>
              </w:rPr>
              <w:t>1</w:t>
            </w:r>
            <w:r>
              <w:rPr>
                <w:rFonts w:hint="eastAsia" w:ascii="宋体" w:hAnsi="宋体" w:cs="仿宋"/>
                <w:color w:val="000000"/>
                <w:szCs w:val="21"/>
              </w:rPr>
              <w:t>所（东鞍山学校），分</w:t>
            </w:r>
            <w:r>
              <w:rPr>
                <w:rFonts w:ascii="宋体" w:hAnsi="宋体" w:cs="仿宋"/>
                <w:color w:val="000000"/>
                <w:szCs w:val="21"/>
              </w:rPr>
              <w:t>2</w:t>
            </w:r>
            <w:r>
              <w:rPr>
                <w:rFonts w:hint="eastAsia" w:ascii="宋体" w:hAnsi="宋体" w:cs="仿宋"/>
                <w:color w:val="000000"/>
                <w:szCs w:val="21"/>
              </w:rPr>
              <w:t>条线路（中所屯</w:t>
            </w:r>
            <w:r>
              <w:rPr>
                <w:rFonts w:ascii="宋体" w:hAnsi="宋体" w:cs="仿宋"/>
                <w:color w:val="000000"/>
                <w:szCs w:val="21"/>
              </w:rPr>
              <w:t>—</w:t>
            </w:r>
            <w:r>
              <w:rPr>
                <w:rFonts w:hint="eastAsia" w:ascii="宋体" w:hAnsi="宋体" w:cs="仿宋"/>
                <w:color w:val="000000"/>
                <w:szCs w:val="21"/>
              </w:rPr>
              <w:t>东鞍山学校，网户屯</w:t>
            </w:r>
            <w:r>
              <w:rPr>
                <w:rFonts w:ascii="宋体" w:hAnsi="宋体" w:cs="仿宋"/>
                <w:color w:val="000000"/>
                <w:szCs w:val="21"/>
              </w:rPr>
              <w:t>—</w:t>
            </w:r>
            <w:r>
              <w:rPr>
                <w:rFonts w:hint="eastAsia" w:ascii="宋体" w:hAnsi="宋体" w:cs="仿宋"/>
                <w:color w:val="000000"/>
                <w:szCs w:val="21"/>
              </w:rPr>
              <w:t>东鞍山学校），需</w:t>
            </w:r>
            <w:r>
              <w:rPr>
                <w:rFonts w:ascii="宋体" w:hAnsi="宋体" w:cs="仿宋"/>
                <w:color w:val="000000"/>
                <w:szCs w:val="21"/>
              </w:rPr>
              <w:t>1</w:t>
            </w:r>
            <w:r>
              <w:rPr>
                <w:rFonts w:hint="eastAsia" w:ascii="宋体" w:hAnsi="宋体" w:cs="仿宋"/>
                <w:color w:val="000000"/>
                <w:szCs w:val="21"/>
              </w:rPr>
              <w:t>台校车。</w:t>
            </w:r>
          </w:p>
          <w:p w14:paraId="2F5DC907">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w:t>
            </w:r>
            <w:r>
              <w:rPr>
                <w:rFonts w:ascii="宋体" w:hAnsi="宋体" w:cs="仿宋"/>
                <w:color w:val="000000"/>
                <w:szCs w:val="21"/>
              </w:rPr>
              <w:t>2</w:t>
            </w:r>
            <w:r>
              <w:rPr>
                <w:rFonts w:hint="eastAsia" w:ascii="宋体" w:hAnsi="宋体" w:cs="仿宋"/>
                <w:color w:val="000000"/>
                <w:szCs w:val="21"/>
              </w:rPr>
              <w:t>）甘泉镇有乘车需求的学校</w:t>
            </w:r>
            <w:r>
              <w:rPr>
                <w:rFonts w:ascii="宋体" w:hAnsi="宋体" w:cs="仿宋"/>
                <w:color w:val="000000"/>
                <w:szCs w:val="21"/>
              </w:rPr>
              <w:t>2</w:t>
            </w:r>
            <w:r>
              <w:rPr>
                <w:rFonts w:hint="eastAsia" w:ascii="宋体" w:hAnsi="宋体" w:cs="仿宋"/>
                <w:color w:val="000000"/>
                <w:szCs w:val="21"/>
              </w:rPr>
              <w:t>所（甘泉中学、甘泉镇小学中心校），分</w:t>
            </w:r>
            <w:r>
              <w:rPr>
                <w:rFonts w:ascii="宋体" w:hAnsi="宋体" w:cs="仿宋"/>
                <w:color w:val="000000"/>
                <w:szCs w:val="21"/>
              </w:rPr>
              <w:t>12</w:t>
            </w:r>
            <w:r>
              <w:rPr>
                <w:rFonts w:hint="eastAsia" w:ascii="宋体" w:hAnsi="宋体" w:cs="仿宋"/>
                <w:color w:val="000000"/>
                <w:szCs w:val="21"/>
              </w:rPr>
              <w:t>条路线，需</w:t>
            </w:r>
            <w:r>
              <w:rPr>
                <w:rFonts w:ascii="宋体" w:hAnsi="宋体" w:cs="仿宋"/>
                <w:color w:val="000000"/>
                <w:szCs w:val="21"/>
              </w:rPr>
              <w:t>6</w:t>
            </w:r>
            <w:r>
              <w:rPr>
                <w:rFonts w:hint="eastAsia" w:ascii="宋体" w:hAnsi="宋体" w:cs="仿宋"/>
                <w:color w:val="000000"/>
                <w:szCs w:val="21"/>
              </w:rPr>
              <w:t>台校车；其中：</w:t>
            </w:r>
          </w:p>
          <w:p w14:paraId="54829D7C">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小学线路：宝石山</w:t>
            </w:r>
            <w:r>
              <w:rPr>
                <w:rFonts w:ascii="宋体" w:hAnsi="宋体" w:cs="仿宋"/>
                <w:color w:val="000000"/>
                <w:szCs w:val="21"/>
              </w:rPr>
              <w:t>—</w:t>
            </w:r>
            <w:r>
              <w:rPr>
                <w:rFonts w:hint="eastAsia" w:ascii="宋体" w:hAnsi="宋体" w:cs="仿宋"/>
                <w:color w:val="000000"/>
                <w:szCs w:val="21"/>
              </w:rPr>
              <w:t>甘泉镇小学中心校，双庙子</w:t>
            </w:r>
            <w:r>
              <w:rPr>
                <w:rFonts w:ascii="宋体" w:hAnsi="宋体" w:cs="仿宋"/>
                <w:color w:val="000000"/>
                <w:szCs w:val="21"/>
              </w:rPr>
              <w:t>—</w:t>
            </w:r>
            <w:r>
              <w:rPr>
                <w:rFonts w:hint="eastAsia" w:ascii="宋体" w:hAnsi="宋体" w:cs="仿宋"/>
                <w:color w:val="000000"/>
                <w:szCs w:val="21"/>
              </w:rPr>
              <w:t>甘泉镇小学中心校，管饭寺</w:t>
            </w:r>
            <w:r>
              <w:rPr>
                <w:rFonts w:ascii="宋体" w:hAnsi="宋体" w:cs="仿宋"/>
                <w:color w:val="000000"/>
                <w:szCs w:val="21"/>
              </w:rPr>
              <w:t>—</w:t>
            </w:r>
            <w:r>
              <w:rPr>
                <w:rFonts w:hint="eastAsia" w:ascii="宋体" w:hAnsi="宋体" w:cs="仿宋"/>
                <w:color w:val="000000"/>
                <w:szCs w:val="21"/>
              </w:rPr>
              <w:t>甘泉镇小学中心校，杨相屯</w:t>
            </w:r>
            <w:r>
              <w:rPr>
                <w:rFonts w:ascii="宋体" w:hAnsi="宋体" w:cs="仿宋"/>
                <w:color w:val="000000"/>
                <w:szCs w:val="21"/>
              </w:rPr>
              <w:t>—</w:t>
            </w:r>
            <w:r>
              <w:rPr>
                <w:rFonts w:hint="eastAsia" w:ascii="宋体" w:hAnsi="宋体" w:cs="仿宋"/>
                <w:color w:val="000000"/>
                <w:szCs w:val="21"/>
              </w:rPr>
              <w:t>甘泉镇小学中心校，龙湾</w:t>
            </w:r>
            <w:r>
              <w:rPr>
                <w:rFonts w:ascii="宋体" w:hAnsi="宋体" w:cs="仿宋"/>
                <w:color w:val="000000"/>
                <w:szCs w:val="21"/>
              </w:rPr>
              <w:t>—</w:t>
            </w:r>
            <w:r>
              <w:rPr>
                <w:rFonts w:hint="eastAsia" w:ascii="宋体" w:hAnsi="宋体" w:cs="仿宋"/>
                <w:color w:val="000000"/>
                <w:szCs w:val="21"/>
              </w:rPr>
              <w:t>甘泉镇小学中心校，兴隆</w:t>
            </w:r>
            <w:r>
              <w:rPr>
                <w:rFonts w:ascii="宋体" w:hAnsi="宋体" w:cs="仿宋"/>
                <w:color w:val="000000"/>
                <w:szCs w:val="21"/>
              </w:rPr>
              <w:t>—</w:t>
            </w:r>
            <w:r>
              <w:rPr>
                <w:rFonts w:hint="eastAsia" w:ascii="宋体" w:hAnsi="宋体" w:cs="仿宋"/>
                <w:color w:val="000000"/>
                <w:szCs w:val="21"/>
              </w:rPr>
              <w:t>甘泉镇小学中心校，于家沟</w:t>
            </w:r>
            <w:r>
              <w:rPr>
                <w:rFonts w:ascii="宋体" w:hAnsi="宋体" w:cs="仿宋"/>
                <w:color w:val="000000"/>
                <w:szCs w:val="21"/>
              </w:rPr>
              <w:t>—</w:t>
            </w:r>
            <w:r>
              <w:rPr>
                <w:rFonts w:hint="eastAsia" w:ascii="宋体" w:hAnsi="宋体" w:cs="仿宋"/>
                <w:color w:val="000000"/>
                <w:szCs w:val="21"/>
              </w:rPr>
              <w:t>甘泉镇小学中心校。</w:t>
            </w:r>
          </w:p>
          <w:p w14:paraId="0A4FC18F">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中学线路：宝石山</w:t>
            </w:r>
            <w:r>
              <w:rPr>
                <w:rFonts w:ascii="宋体" w:hAnsi="宋体" w:cs="仿宋"/>
                <w:color w:val="000000"/>
                <w:szCs w:val="21"/>
              </w:rPr>
              <w:t>—</w:t>
            </w:r>
            <w:r>
              <w:rPr>
                <w:rFonts w:hint="eastAsia" w:ascii="宋体" w:hAnsi="宋体" w:cs="仿宋"/>
                <w:color w:val="000000"/>
                <w:szCs w:val="21"/>
              </w:rPr>
              <w:t>甘泉中学，双庙子</w:t>
            </w:r>
            <w:r>
              <w:rPr>
                <w:rFonts w:ascii="宋体" w:hAnsi="宋体" w:cs="仿宋"/>
                <w:color w:val="000000"/>
                <w:szCs w:val="21"/>
              </w:rPr>
              <w:t>—</w:t>
            </w:r>
            <w:r>
              <w:rPr>
                <w:rFonts w:hint="eastAsia" w:ascii="宋体" w:hAnsi="宋体" w:cs="仿宋"/>
                <w:color w:val="000000"/>
                <w:szCs w:val="21"/>
              </w:rPr>
              <w:t>甘泉中学，管饭寺</w:t>
            </w:r>
            <w:r>
              <w:rPr>
                <w:rFonts w:ascii="宋体" w:hAnsi="宋体" w:cs="仿宋"/>
                <w:color w:val="000000"/>
                <w:szCs w:val="21"/>
              </w:rPr>
              <w:t>—</w:t>
            </w:r>
            <w:r>
              <w:rPr>
                <w:rFonts w:hint="eastAsia" w:ascii="宋体" w:hAnsi="宋体" w:cs="仿宋"/>
                <w:color w:val="000000"/>
                <w:szCs w:val="21"/>
              </w:rPr>
              <w:t>甘泉中学，龙湾</w:t>
            </w:r>
            <w:r>
              <w:rPr>
                <w:rFonts w:ascii="宋体" w:hAnsi="宋体" w:cs="仿宋"/>
                <w:color w:val="000000"/>
                <w:szCs w:val="21"/>
              </w:rPr>
              <w:t>—</w:t>
            </w:r>
            <w:r>
              <w:rPr>
                <w:rFonts w:hint="eastAsia" w:ascii="宋体" w:hAnsi="宋体" w:cs="仿宋"/>
                <w:color w:val="000000"/>
                <w:szCs w:val="21"/>
              </w:rPr>
              <w:t>甘泉中学，兴隆</w:t>
            </w:r>
            <w:r>
              <w:rPr>
                <w:rFonts w:ascii="宋体" w:hAnsi="宋体" w:cs="仿宋"/>
                <w:color w:val="000000"/>
                <w:szCs w:val="21"/>
              </w:rPr>
              <w:t>—</w:t>
            </w:r>
            <w:r>
              <w:rPr>
                <w:rFonts w:hint="eastAsia" w:ascii="宋体" w:hAnsi="宋体" w:cs="仿宋"/>
                <w:color w:val="000000"/>
                <w:szCs w:val="21"/>
              </w:rPr>
              <w:t>甘泉中学。</w:t>
            </w:r>
          </w:p>
          <w:p w14:paraId="227201A5">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w:t>
            </w:r>
            <w:r>
              <w:rPr>
                <w:rFonts w:ascii="宋体" w:hAnsi="宋体" w:cs="仿宋"/>
                <w:color w:val="000000"/>
                <w:szCs w:val="21"/>
              </w:rPr>
              <w:t>3</w:t>
            </w:r>
            <w:r>
              <w:rPr>
                <w:rFonts w:hint="eastAsia" w:ascii="宋体" w:hAnsi="宋体" w:cs="仿宋"/>
                <w:color w:val="000000"/>
                <w:szCs w:val="21"/>
              </w:rPr>
              <w:t>）唐家房镇有乘车需求的学校</w:t>
            </w:r>
            <w:r>
              <w:rPr>
                <w:rFonts w:ascii="宋体" w:hAnsi="宋体" w:cs="仿宋"/>
                <w:color w:val="000000"/>
                <w:szCs w:val="21"/>
              </w:rPr>
              <w:t>1</w:t>
            </w:r>
            <w:r>
              <w:rPr>
                <w:rFonts w:hint="eastAsia" w:ascii="宋体" w:hAnsi="宋体" w:cs="仿宋"/>
                <w:color w:val="000000"/>
                <w:szCs w:val="21"/>
              </w:rPr>
              <w:t>所（唐家房镇小学中心校），分</w:t>
            </w:r>
            <w:r>
              <w:rPr>
                <w:rFonts w:ascii="宋体" w:hAnsi="宋体" w:cs="仿宋"/>
                <w:color w:val="000000"/>
                <w:szCs w:val="21"/>
              </w:rPr>
              <w:t>4</w:t>
            </w:r>
            <w:r>
              <w:rPr>
                <w:rFonts w:hint="eastAsia" w:ascii="宋体" w:hAnsi="宋体" w:cs="仿宋"/>
                <w:color w:val="000000"/>
                <w:szCs w:val="21"/>
              </w:rPr>
              <w:t>条线路（李氏房</w:t>
            </w:r>
            <w:r>
              <w:rPr>
                <w:rFonts w:ascii="宋体" w:hAnsi="宋体" w:cs="仿宋"/>
                <w:color w:val="000000"/>
                <w:szCs w:val="21"/>
              </w:rPr>
              <w:t>—</w:t>
            </w:r>
            <w:r>
              <w:rPr>
                <w:rFonts w:hint="eastAsia" w:ascii="宋体" w:hAnsi="宋体" w:cs="仿宋"/>
                <w:color w:val="000000"/>
                <w:szCs w:val="21"/>
              </w:rPr>
              <w:t>唐家房镇小学中心校，顾家房</w:t>
            </w:r>
            <w:r>
              <w:rPr>
                <w:rFonts w:ascii="宋体" w:hAnsi="宋体" w:cs="仿宋"/>
                <w:color w:val="000000"/>
                <w:szCs w:val="21"/>
              </w:rPr>
              <w:t>—</w:t>
            </w:r>
            <w:r>
              <w:rPr>
                <w:rFonts w:hint="eastAsia" w:ascii="宋体" w:hAnsi="宋体" w:cs="仿宋"/>
                <w:color w:val="000000"/>
                <w:szCs w:val="21"/>
              </w:rPr>
              <w:t>唐家房镇小学中心校，枣峪</w:t>
            </w:r>
            <w:r>
              <w:rPr>
                <w:rFonts w:ascii="宋体" w:hAnsi="宋体" w:cs="仿宋"/>
                <w:color w:val="000000"/>
                <w:szCs w:val="21"/>
              </w:rPr>
              <w:t>—</w:t>
            </w:r>
            <w:r>
              <w:rPr>
                <w:rFonts w:hint="eastAsia" w:ascii="宋体" w:hAnsi="宋体" w:cs="仿宋"/>
                <w:color w:val="000000"/>
                <w:szCs w:val="21"/>
              </w:rPr>
              <w:t>唐家房镇小学中心校），需</w:t>
            </w:r>
            <w:r>
              <w:rPr>
                <w:rFonts w:ascii="宋体" w:hAnsi="宋体" w:cs="仿宋"/>
                <w:color w:val="000000"/>
                <w:szCs w:val="21"/>
              </w:rPr>
              <w:t>2</w:t>
            </w:r>
            <w:r>
              <w:rPr>
                <w:rFonts w:hint="eastAsia" w:ascii="宋体" w:hAnsi="宋体" w:cs="仿宋"/>
                <w:color w:val="000000"/>
                <w:szCs w:val="21"/>
              </w:rPr>
              <w:t>台校车。原大孤山镇学生分</w:t>
            </w:r>
            <w:r>
              <w:rPr>
                <w:rFonts w:ascii="宋体" w:hAnsi="宋体" w:cs="仿宋"/>
                <w:color w:val="000000"/>
                <w:szCs w:val="21"/>
              </w:rPr>
              <w:t>1</w:t>
            </w:r>
            <w:r>
              <w:rPr>
                <w:rFonts w:hint="eastAsia" w:ascii="宋体" w:hAnsi="宋体" w:cs="仿宋"/>
                <w:color w:val="000000"/>
                <w:szCs w:val="21"/>
              </w:rPr>
              <w:t>条线路到唐家镇小学中心校，需</w:t>
            </w:r>
            <w:r>
              <w:rPr>
                <w:rFonts w:ascii="宋体" w:hAnsi="宋体" w:cs="仿宋"/>
                <w:color w:val="000000"/>
                <w:szCs w:val="21"/>
              </w:rPr>
              <w:t>1</w:t>
            </w:r>
            <w:r>
              <w:rPr>
                <w:rFonts w:hint="eastAsia" w:ascii="宋体" w:hAnsi="宋体" w:cs="仿宋"/>
                <w:color w:val="000000"/>
                <w:szCs w:val="21"/>
              </w:rPr>
              <w:t>台校车。</w:t>
            </w:r>
          </w:p>
          <w:p w14:paraId="43D78CF2">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w:t>
            </w:r>
            <w:r>
              <w:rPr>
                <w:rFonts w:ascii="宋体" w:hAnsi="宋体" w:cs="仿宋"/>
                <w:color w:val="000000"/>
                <w:szCs w:val="21"/>
              </w:rPr>
              <w:t>4</w:t>
            </w:r>
            <w:r>
              <w:rPr>
                <w:rFonts w:hint="eastAsia" w:ascii="宋体" w:hAnsi="宋体" w:cs="仿宋"/>
                <w:color w:val="000000"/>
                <w:szCs w:val="21"/>
              </w:rPr>
              <w:t>）大屯镇有乘车需求的学校</w:t>
            </w:r>
            <w:r>
              <w:rPr>
                <w:rFonts w:ascii="宋体" w:hAnsi="宋体" w:cs="仿宋"/>
                <w:color w:val="000000"/>
                <w:szCs w:val="21"/>
              </w:rPr>
              <w:t>4</w:t>
            </w:r>
            <w:r>
              <w:rPr>
                <w:rFonts w:hint="eastAsia" w:ascii="宋体" w:hAnsi="宋体" w:cs="仿宋"/>
                <w:color w:val="000000"/>
                <w:szCs w:val="21"/>
              </w:rPr>
              <w:t>所（大屯中学、育英学校，白石寨小学，大屯镇小学中心校），分</w:t>
            </w:r>
            <w:r>
              <w:rPr>
                <w:rFonts w:ascii="宋体" w:hAnsi="宋体" w:cs="仿宋"/>
                <w:color w:val="000000"/>
                <w:szCs w:val="21"/>
              </w:rPr>
              <w:t>11</w:t>
            </w:r>
            <w:r>
              <w:rPr>
                <w:rFonts w:hint="eastAsia" w:ascii="宋体" w:hAnsi="宋体" w:cs="仿宋"/>
                <w:color w:val="000000"/>
                <w:szCs w:val="21"/>
              </w:rPr>
              <w:t>条线路，需</w:t>
            </w:r>
            <w:r>
              <w:rPr>
                <w:rFonts w:ascii="宋体" w:hAnsi="宋体" w:cs="仿宋"/>
                <w:color w:val="000000"/>
                <w:szCs w:val="21"/>
              </w:rPr>
              <w:t>6</w:t>
            </w:r>
            <w:r>
              <w:rPr>
                <w:rFonts w:hint="eastAsia" w:ascii="宋体" w:hAnsi="宋体" w:cs="仿宋"/>
                <w:color w:val="000000"/>
                <w:szCs w:val="21"/>
              </w:rPr>
              <w:t>台校车；其中：</w:t>
            </w:r>
          </w:p>
          <w:p w14:paraId="3B335870">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小学线路：英不落</w:t>
            </w:r>
            <w:r>
              <w:rPr>
                <w:rFonts w:ascii="宋体" w:hAnsi="宋体" w:cs="仿宋"/>
                <w:color w:val="000000"/>
                <w:szCs w:val="21"/>
              </w:rPr>
              <w:t>—</w:t>
            </w:r>
            <w:r>
              <w:rPr>
                <w:rFonts w:hint="eastAsia" w:ascii="宋体" w:hAnsi="宋体" w:cs="仿宋"/>
                <w:color w:val="000000"/>
                <w:szCs w:val="21"/>
              </w:rPr>
              <w:t>育英学校，腰岭</w:t>
            </w:r>
            <w:r>
              <w:rPr>
                <w:rFonts w:ascii="宋体" w:hAnsi="宋体" w:cs="仿宋"/>
                <w:color w:val="000000"/>
                <w:szCs w:val="21"/>
              </w:rPr>
              <w:t>—</w:t>
            </w:r>
            <w:r>
              <w:rPr>
                <w:rFonts w:hint="eastAsia" w:ascii="宋体" w:hAnsi="宋体" w:cs="仿宋"/>
                <w:color w:val="000000"/>
                <w:szCs w:val="21"/>
              </w:rPr>
              <w:t>育英学校，山城沟</w:t>
            </w:r>
            <w:r>
              <w:rPr>
                <w:rFonts w:ascii="宋体" w:hAnsi="宋体" w:cs="仿宋"/>
                <w:color w:val="000000"/>
                <w:szCs w:val="21"/>
              </w:rPr>
              <w:t>—</w:t>
            </w:r>
            <w:r>
              <w:rPr>
                <w:rFonts w:hint="eastAsia" w:ascii="宋体" w:hAnsi="宋体" w:cs="仿宋"/>
                <w:color w:val="000000"/>
                <w:szCs w:val="21"/>
              </w:rPr>
              <w:t>育英学校，南白石</w:t>
            </w:r>
            <w:r>
              <w:rPr>
                <w:rFonts w:ascii="宋体" w:hAnsi="宋体" w:cs="仿宋"/>
                <w:color w:val="000000"/>
                <w:szCs w:val="21"/>
              </w:rPr>
              <w:t>—</w:t>
            </w:r>
            <w:r>
              <w:rPr>
                <w:rFonts w:hint="eastAsia" w:ascii="宋体" w:hAnsi="宋体" w:cs="仿宋"/>
                <w:color w:val="000000"/>
                <w:szCs w:val="21"/>
              </w:rPr>
              <w:t>白石寨小学，东白石</w:t>
            </w:r>
            <w:r>
              <w:rPr>
                <w:rFonts w:ascii="宋体" w:hAnsi="宋体" w:cs="仿宋"/>
                <w:color w:val="000000"/>
                <w:szCs w:val="21"/>
              </w:rPr>
              <w:t>—</w:t>
            </w:r>
            <w:r>
              <w:rPr>
                <w:rFonts w:hint="eastAsia" w:ascii="宋体" w:hAnsi="宋体" w:cs="仿宋"/>
                <w:color w:val="000000"/>
                <w:szCs w:val="21"/>
              </w:rPr>
              <w:t>白石寨小学，小台沟</w:t>
            </w:r>
            <w:r>
              <w:rPr>
                <w:rFonts w:ascii="宋体" w:hAnsi="宋体" w:cs="仿宋"/>
                <w:color w:val="000000"/>
                <w:szCs w:val="21"/>
              </w:rPr>
              <w:t>—</w:t>
            </w:r>
            <w:r>
              <w:rPr>
                <w:rFonts w:hint="eastAsia" w:ascii="宋体" w:hAnsi="宋体" w:cs="仿宋"/>
                <w:color w:val="000000"/>
                <w:szCs w:val="21"/>
              </w:rPr>
              <w:t>大屯镇中心小学。</w:t>
            </w:r>
          </w:p>
          <w:p w14:paraId="628BE7ED">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中学线路：英不落</w:t>
            </w:r>
            <w:r>
              <w:rPr>
                <w:rFonts w:ascii="宋体" w:hAnsi="宋体" w:cs="仿宋"/>
                <w:color w:val="000000"/>
                <w:szCs w:val="21"/>
              </w:rPr>
              <w:t>—</w:t>
            </w:r>
            <w:r>
              <w:rPr>
                <w:rFonts w:hint="eastAsia" w:ascii="宋体" w:hAnsi="宋体" w:cs="仿宋"/>
                <w:color w:val="000000"/>
                <w:szCs w:val="21"/>
              </w:rPr>
              <w:t>育英学校</w:t>
            </w:r>
          </w:p>
          <w:p w14:paraId="49EE7786">
            <w:pPr>
              <w:adjustRightInd w:val="0"/>
              <w:snapToGrid w:val="0"/>
              <w:ind w:firstLine="420" w:firstLineChars="200"/>
              <w:contextualSpacing/>
              <w:rPr>
                <w:rFonts w:ascii="宋体" w:cs="仿宋"/>
                <w:color w:val="000000"/>
                <w:szCs w:val="21"/>
              </w:rPr>
            </w:pPr>
            <w:r>
              <w:rPr>
                <w:rFonts w:ascii="宋体" w:hAnsi="宋体" w:cs="仿宋"/>
                <w:color w:val="000000"/>
                <w:szCs w:val="21"/>
              </w:rPr>
              <w:t xml:space="preserve"> </w:t>
            </w:r>
            <w:r>
              <w:rPr>
                <w:rFonts w:hint="eastAsia" w:ascii="宋体" w:hAnsi="宋体" w:cs="仿宋"/>
                <w:color w:val="000000"/>
                <w:szCs w:val="21"/>
              </w:rPr>
              <w:t>腰岭</w:t>
            </w:r>
            <w:r>
              <w:rPr>
                <w:rFonts w:ascii="宋体" w:hAnsi="宋体" w:cs="仿宋"/>
                <w:color w:val="000000"/>
                <w:szCs w:val="21"/>
              </w:rPr>
              <w:t>—</w:t>
            </w:r>
            <w:r>
              <w:rPr>
                <w:rFonts w:hint="eastAsia" w:ascii="宋体" w:hAnsi="宋体" w:cs="仿宋"/>
                <w:color w:val="000000"/>
                <w:szCs w:val="21"/>
              </w:rPr>
              <w:t>育英学校，山城沟</w:t>
            </w:r>
            <w:r>
              <w:rPr>
                <w:rFonts w:ascii="宋体" w:hAnsi="宋体" w:cs="仿宋"/>
                <w:color w:val="000000"/>
                <w:szCs w:val="21"/>
              </w:rPr>
              <w:t>—</w:t>
            </w:r>
            <w:r>
              <w:rPr>
                <w:rFonts w:hint="eastAsia" w:ascii="宋体" w:hAnsi="宋体" w:cs="仿宋"/>
                <w:color w:val="000000"/>
                <w:szCs w:val="21"/>
              </w:rPr>
              <w:t>育英学校，小台沟</w:t>
            </w:r>
            <w:r>
              <w:rPr>
                <w:rFonts w:ascii="宋体" w:hAnsi="宋体" w:cs="仿宋"/>
                <w:color w:val="000000"/>
                <w:szCs w:val="21"/>
              </w:rPr>
              <w:t>—</w:t>
            </w:r>
            <w:r>
              <w:rPr>
                <w:rFonts w:hint="eastAsia" w:ascii="宋体" w:hAnsi="宋体" w:cs="仿宋"/>
                <w:color w:val="000000"/>
                <w:szCs w:val="21"/>
              </w:rPr>
              <w:t>大屯中学，南白石</w:t>
            </w:r>
            <w:r>
              <w:rPr>
                <w:rFonts w:ascii="宋体" w:hAnsi="宋体" w:cs="仿宋"/>
                <w:color w:val="000000"/>
                <w:szCs w:val="21"/>
              </w:rPr>
              <w:t>—</w:t>
            </w:r>
            <w:r>
              <w:rPr>
                <w:rFonts w:hint="eastAsia" w:ascii="宋体" w:hAnsi="宋体" w:cs="仿宋"/>
                <w:color w:val="000000"/>
                <w:szCs w:val="21"/>
              </w:rPr>
              <w:t>大屯中学。</w:t>
            </w:r>
          </w:p>
          <w:p w14:paraId="33C353F3">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w:t>
            </w:r>
            <w:r>
              <w:rPr>
                <w:rFonts w:ascii="宋体" w:hAnsi="宋体" w:cs="仿宋"/>
                <w:color w:val="000000"/>
                <w:szCs w:val="21"/>
              </w:rPr>
              <w:t>5</w:t>
            </w:r>
            <w:r>
              <w:rPr>
                <w:rFonts w:hint="eastAsia" w:ascii="宋体" w:hAnsi="宋体" w:cs="仿宋"/>
                <w:color w:val="000000"/>
                <w:szCs w:val="21"/>
              </w:rPr>
              <w:t>）汤岗子街道有乘车需求的学校</w:t>
            </w:r>
            <w:r>
              <w:rPr>
                <w:rFonts w:ascii="宋体" w:hAnsi="宋体" w:cs="仿宋"/>
                <w:color w:val="000000"/>
                <w:szCs w:val="21"/>
              </w:rPr>
              <w:t>2</w:t>
            </w:r>
            <w:r>
              <w:rPr>
                <w:rFonts w:hint="eastAsia" w:ascii="宋体" w:hAnsi="宋体" w:cs="仿宋"/>
                <w:color w:val="000000"/>
                <w:szCs w:val="21"/>
              </w:rPr>
              <w:t>所（汤岗子镇小学中心校，汤岗子学校），分</w:t>
            </w:r>
            <w:r>
              <w:rPr>
                <w:rFonts w:ascii="宋体" w:hAnsi="宋体" w:cs="仿宋"/>
                <w:color w:val="000000"/>
                <w:szCs w:val="21"/>
              </w:rPr>
              <w:t>14</w:t>
            </w:r>
            <w:r>
              <w:rPr>
                <w:rFonts w:hint="eastAsia" w:ascii="宋体" w:hAnsi="宋体" w:cs="仿宋"/>
                <w:color w:val="000000"/>
                <w:szCs w:val="21"/>
              </w:rPr>
              <w:t>条线路，需</w:t>
            </w:r>
            <w:r>
              <w:rPr>
                <w:rFonts w:ascii="宋体" w:hAnsi="宋体" w:cs="仿宋"/>
                <w:color w:val="000000"/>
                <w:szCs w:val="21"/>
              </w:rPr>
              <w:t>7</w:t>
            </w:r>
            <w:r>
              <w:rPr>
                <w:rFonts w:hint="eastAsia" w:ascii="宋体" w:hAnsi="宋体" w:cs="仿宋"/>
                <w:color w:val="000000"/>
                <w:szCs w:val="21"/>
              </w:rPr>
              <w:t>台校车，其中：</w:t>
            </w:r>
          </w:p>
          <w:p w14:paraId="4B123082">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小学线路：后英佳苑</w:t>
            </w:r>
            <w:r>
              <w:rPr>
                <w:rFonts w:ascii="宋体" w:hAnsi="宋体" w:cs="仿宋"/>
                <w:color w:val="000000"/>
                <w:szCs w:val="21"/>
              </w:rPr>
              <w:t>—</w:t>
            </w:r>
            <w:r>
              <w:rPr>
                <w:rFonts w:hint="eastAsia" w:ascii="宋体" w:hAnsi="宋体" w:cs="仿宋"/>
                <w:color w:val="000000"/>
                <w:szCs w:val="21"/>
              </w:rPr>
              <w:t>汤岗子镇小学中心校，小台沟</w:t>
            </w:r>
            <w:r>
              <w:rPr>
                <w:rFonts w:ascii="宋体" w:hAnsi="宋体" w:cs="仿宋"/>
                <w:color w:val="000000"/>
                <w:szCs w:val="21"/>
              </w:rPr>
              <w:t>—</w:t>
            </w:r>
            <w:r>
              <w:rPr>
                <w:rFonts w:hint="eastAsia" w:ascii="宋体" w:hAnsi="宋体" w:cs="仿宋"/>
                <w:color w:val="000000"/>
                <w:szCs w:val="21"/>
              </w:rPr>
              <w:t>汤岗子镇小学中心校，南于沟</w:t>
            </w:r>
            <w:r>
              <w:rPr>
                <w:rFonts w:ascii="宋体" w:hAnsi="宋体" w:cs="仿宋"/>
                <w:color w:val="000000"/>
                <w:szCs w:val="21"/>
              </w:rPr>
              <w:t>—</w:t>
            </w:r>
            <w:r>
              <w:rPr>
                <w:rFonts w:hint="eastAsia" w:ascii="宋体" w:hAnsi="宋体" w:cs="仿宋"/>
                <w:color w:val="000000"/>
                <w:szCs w:val="21"/>
              </w:rPr>
              <w:t>汤岗子镇小学中心校，杨家</w:t>
            </w:r>
            <w:r>
              <w:rPr>
                <w:rFonts w:ascii="宋体" w:hAnsi="宋体" w:cs="仿宋"/>
                <w:color w:val="000000"/>
                <w:szCs w:val="21"/>
              </w:rPr>
              <w:t>—22</w:t>
            </w:r>
            <w:r>
              <w:rPr>
                <w:rFonts w:hint="eastAsia" w:ascii="宋体" w:hAnsi="宋体" w:cs="仿宋"/>
                <w:color w:val="000000"/>
                <w:szCs w:val="21"/>
              </w:rPr>
              <w:t>中学小学部，罗家</w:t>
            </w:r>
            <w:r>
              <w:rPr>
                <w:rFonts w:ascii="宋体" w:hAnsi="宋体" w:cs="仿宋"/>
                <w:color w:val="000000"/>
                <w:szCs w:val="21"/>
              </w:rPr>
              <w:t>—22</w:t>
            </w:r>
            <w:r>
              <w:rPr>
                <w:rFonts w:hint="eastAsia" w:ascii="宋体" w:hAnsi="宋体" w:cs="仿宋"/>
                <w:color w:val="000000"/>
                <w:szCs w:val="21"/>
              </w:rPr>
              <w:t>中学小学部，老虎屯</w:t>
            </w:r>
            <w:r>
              <w:rPr>
                <w:rFonts w:ascii="宋体" w:hAnsi="宋体" w:cs="仿宋"/>
                <w:color w:val="000000"/>
                <w:szCs w:val="21"/>
              </w:rPr>
              <w:t>—22</w:t>
            </w:r>
            <w:r>
              <w:rPr>
                <w:rFonts w:hint="eastAsia" w:ascii="宋体" w:hAnsi="宋体" w:cs="仿宋"/>
                <w:color w:val="000000"/>
                <w:szCs w:val="21"/>
              </w:rPr>
              <w:t>中学小学部，候角屯</w:t>
            </w:r>
            <w:r>
              <w:rPr>
                <w:rFonts w:ascii="宋体" w:hAnsi="宋体" w:cs="仿宋"/>
                <w:color w:val="000000"/>
                <w:szCs w:val="21"/>
              </w:rPr>
              <w:t>—22</w:t>
            </w:r>
            <w:r>
              <w:rPr>
                <w:rFonts w:hint="eastAsia" w:ascii="宋体" w:hAnsi="宋体" w:cs="仿宋"/>
                <w:color w:val="000000"/>
                <w:szCs w:val="21"/>
              </w:rPr>
              <w:t>中学小学部，西汤河</w:t>
            </w:r>
            <w:r>
              <w:rPr>
                <w:rFonts w:ascii="宋体" w:hAnsi="宋体" w:cs="仿宋"/>
                <w:color w:val="000000"/>
                <w:szCs w:val="21"/>
              </w:rPr>
              <w:t>—22</w:t>
            </w:r>
            <w:r>
              <w:rPr>
                <w:rFonts w:hint="eastAsia" w:ascii="宋体" w:hAnsi="宋体" w:cs="仿宋"/>
                <w:color w:val="000000"/>
                <w:szCs w:val="21"/>
              </w:rPr>
              <w:t>中学小学部</w:t>
            </w:r>
          </w:p>
          <w:p w14:paraId="425EFA7E">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中学线路：龙岭</w:t>
            </w:r>
            <w:r>
              <w:rPr>
                <w:rFonts w:ascii="宋体" w:hAnsi="宋体" w:cs="仿宋"/>
                <w:color w:val="000000"/>
                <w:szCs w:val="21"/>
              </w:rPr>
              <w:t>—22</w:t>
            </w:r>
            <w:r>
              <w:rPr>
                <w:rFonts w:hint="eastAsia" w:ascii="宋体" w:hAnsi="宋体" w:cs="仿宋"/>
                <w:color w:val="000000"/>
                <w:szCs w:val="21"/>
              </w:rPr>
              <w:t>中学中学部，西汤河</w:t>
            </w:r>
            <w:r>
              <w:rPr>
                <w:rFonts w:ascii="宋体" w:hAnsi="宋体" w:cs="仿宋"/>
                <w:color w:val="000000"/>
                <w:szCs w:val="21"/>
              </w:rPr>
              <w:t>—22</w:t>
            </w:r>
            <w:r>
              <w:rPr>
                <w:rFonts w:hint="eastAsia" w:ascii="宋体" w:hAnsi="宋体" w:cs="仿宋"/>
                <w:color w:val="000000"/>
                <w:szCs w:val="21"/>
              </w:rPr>
              <w:t>中学中学部，候角屯</w:t>
            </w:r>
            <w:r>
              <w:rPr>
                <w:rFonts w:ascii="宋体" w:hAnsi="宋体" w:cs="仿宋"/>
                <w:color w:val="000000"/>
                <w:szCs w:val="21"/>
              </w:rPr>
              <w:t>—22</w:t>
            </w:r>
            <w:r>
              <w:rPr>
                <w:rFonts w:hint="eastAsia" w:ascii="宋体" w:hAnsi="宋体" w:cs="仿宋"/>
                <w:color w:val="000000"/>
                <w:szCs w:val="21"/>
              </w:rPr>
              <w:t>中学中学部，靛池沟</w:t>
            </w:r>
            <w:r>
              <w:rPr>
                <w:rFonts w:ascii="宋体" w:hAnsi="宋体" w:cs="仿宋"/>
                <w:color w:val="000000"/>
                <w:szCs w:val="21"/>
              </w:rPr>
              <w:t>—22</w:t>
            </w:r>
            <w:r>
              <w:rPr>
                <w:rFonts w:hint="eastAsia" w:ascii="宋体" w:hAnsi="宋体" w:cs="仿宋"/>
                <w:color w:val="000000"/>
                <w:szCs w:val="21"/>
              </w:rPr>
              <w:t>中学中学部，罗家</w:t>
            </w:r>
            <w:r>
              <w:rPr>
                <w:rFonts w:ascii="宋体" w:hAnsi="宋体" w:cs="仿宋"/>
                <w:color w:val="000000"/>
                <w:szCs w:val="21"/>
              </w:rPr>
              <w:t>—22</w:t>
            </w:r>
            <w:r>
              <w:rPr>
                <w:rFonts w:hint="eastAsia" w:ascii="宋体" w:hAnsi="宋体" w:cs="仿宋"/>
                <w:color w:val="000000"/>
                <w:szCs w:val="21"/>
              </w:rPr>
              <w:t>中学中学部，甘泉</w:t>
            </w:r>
            <w:r>
              <w:rPr>
                <w:rFonts w:ascii="宋体" w:hAnsi="宋体" w:cs="仿宋"/>
                <w:color w:val="000000"/>
                <w:szCs w:val="21"/>
              </w:rPr>
              <w:t>—22</w:t>
            </w:r>
            <w:r>
              <w:rPr>
                <w:rFonts w:hint="eastAsia" w:ascii="宋体" w:hAnsi="宋体" w:cs="仿宋"/>
                <w:color w:val="000000"/>
                <w:szCs w:val="21"/>
              </w:rPr>
              <w:t>中小学部</w:t>
            </w:r>
          </w:p>
          <w:p w14:paraId="1878DA95">
            <w:pPr>
              <w:adjustRightInd w:val="0"/>
              <w:snapToGrid w:val="0"/>
              <w:ind w:firstLine="422" w:firstLineChars="200"/>
              <w:contextualSpacing/>
              <w:rPr>
                <w:rFonts w:ascii="宋体" w:cs="仿宋"/>
                <w:b/>
                <w:color w:val="000000"/>
                <w:szCs w:val="21"/>
              </w:rPr>
            </w:pPr>
            <w:r>
              <w:rPr>
                <w:rFonts w:ascii="宋体" w:hAnsi="宋体" w:cs="仿宋"/>
                <w:b/>
                <w:color w:val="000000"/>
                <w:szCs w:val="21"/>
              </w:rPr>
              <w:t>2</w:t>
            </w:r>
            <w:r>
              <w:rPr>
                <w:rFonts w:hint="eastAsia" w:ascii="宋体" w:hAnsi="宋体" w:cs="仿宋"/>
                <w:b/>
                <w:color w:val="000000"/>
                <w:szCs w:val="21"/>
              </w:rPr>
              <w:t>、乘车费用及政府补贴标准</w:t>
            </w:r>
          </w:p>
          <w:p w14:paraId="38F224AF">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校车运营服务期间，每名乘车学生根据距离远近，交纳一定金额的乘车费用。同时，每年校车政府补贴款将纳入财政预算，由区、镇（街）两级政府单独支付校车公司适当的政府补贴。区校车政府补贴标准可根据中标方实际运营情况适当进行调整，以保证校车安全稳定运营。</w:t>
            </w:r>
          </w:p>
          <w:p w14:paraId="4570CA7D">
            <w:pPr>
              <w:adjustRightInd w:val="0"/>
              <w:snapToGrid w:val="0"/>
              <w:ind w:left="34" w:leftChars="16" w:firstLine="443" w:firstLineChars="210"/>
              <w:contextualSpacing/>
              <w:rPr>
                <w:rFonts w:ascii="宋体" w:cs="仿宋"/>
                <w:color w:val="000000"/>
                <w:szCs w:val="21"/>
              </w:rPr>
            </w:pPr>
            <w:r>
              <w:rPr>
                <w:rFonts w:hint="eastAsia" w:ascii="宋体" w:hAnsi="宋体" w:cs="仿宋"/>
                <w:b/>
                <w:bCs/>
                <w:color w:val="000000"/>
                <w:szCs w:val="21"/>
              </w:rPr>
              <w:t>学生收费标准（拟定）：</w:t>
            </w:r>
            <w:r>
              <w:rPr>
                <w:rFonts w:ascii="宋体" w:hAnsi="宋体" w:cs="仿宋"/>
                <w:b/>
                <w:bCs/>
                <w:color w:val="000000"/>
                <w:szCs w:val="21"/>
              </w:rPr>
              <w:t xml:space="preserve"> 5</w:t>
            </w:r>
            <w:r>
              <w:rPr>
                <w:rFonts w:hint="eastAsia" w:ascii="宋体" w:hAnsi="宋体" w:cs="仿宋"/>
                <w:color w:val="000000"/>
                <w:szCs w:val="21"/>
              </w:rPr>
              <w:t>元（</w:t>
            </w:r>
            <w:r>
              <w:rPr>
                <w:rFonts w:ascii="宋体" w:hAnsi="宋体" w:cs="仿宋"/>
                <w:color w:val="000000"/>
                <w:szCs w:val="21"/>
              </w:rPr>
              <w:t>3</w:t>
            </w:r>
            <w:r>
              <w:rPr>
                <w:rFonts w:hint="eastAsia" w:ascii="宋体" w:hAnsi="宋体" w:cs="仿宋"/>
                <w:color w:val="000000"/>
                <w:szCs w:val="21"/>
              </w:rPr>
              <w:t>公里）</w:t>
            </w:r>
            <w:r>
              <w:rPr>
                <w:rFonts w:ascii="宋体" w:hAnsi="宋体" w:cs="仿宋"/>
                <w:color w:val="000000"/>
                <w:szCs w:val="21"/>
              </w:rPr>
              <w:t xml:space="preserve"> 6</w:t>
            </w:r>
            <w:r>
              <w:rPr>
                <w:rFonts w:hint="eastAsia" w:ascii="宋体" w:hAnsi="宋体" w:cs="仿宋"/>
                <w:color w:val="000000"/>
                <w:szCs w:val="21"/>
              </w:rPr>
              <w:t>元（</w:t>
            </w:r>
            <w:r>
              <w:rPr>
                <w:rFonts w:ascii="宋体" w:hAnsi="宋体" w:cs="仿宋"/>
                <w:color w:val="000000"/>
                <w:szCs w:val="21"/>
              </w:rPr>
              <w:t>3-5</w:t>
            </w:r>
            <w:r>
              <w:rPr>
                <w:rFonts w:hint="eastAsia" w:ascii="宋体" w:hAnsi="宋体" w:cs="仿宋"/>
                <w:color w:val="000000"/>
                <w:szCs w:val="21"/>
              </w:rPr>
              <w:t>公里</w:t>
            </w:r>
            <w:r>
              <w:rPr>
                <w:rFonts w:ascii="宋体" w:hAnsi="宋体" w:cs="仿宋"/>
                <w:color w:val="000000"/>
                <w:szCs w:val="21"/>
              </w:rPr>
              <w:t xml:space="preserve"> </w:t>
            </w:r>
            <w:r>
              <w:rPr>
                <w:rFonts w:hint="eastAsia" w:ascii="宋体" w:hAnsi="宋体" w:cs="仿宋"/>
                <w:color w:val="000000"/>
                <w:szCs w:val="21"/>
              </w:rPr>
              <w:t>）</w:t>
            </w:r>
            <w:r>
              <w:rPr>
                <w:rFonts w:ascii="宋体" w:hAnsi="宋体" w:cs="仿宋"/>
                <w:color w:val="000000"/>
                <w:szCs w:val="21"/>
              </w:rPr>
              <w:t xml:space="preserve"> 7</w:t>
            </w:r>
            <w:r>
              <w:rPr>
                <w:rFonts w:hint="eastAsia" w:ascii="宋体" w:hAnsi="宋体" w:cs="仿宋"/>
                <w:color w:val="000000"/>
                <w:szCs w:val="21"/>
              </w:rPr>
              <w:t>元（</w:t>
            </w:r>
            <w:r>
              <w:rPr>
                <w:rFonts w:ascii="宋体" w:hAnsi="宋体" w:cs="仿宋"/>
                <w:color w:val="000000"/>
                <w:szCs w:val="21"/>
              </w:rPr>
              <w:t>5-8</w:t>
            </w:r>
            <w:r>
              <w:rPr>
                <w:rFonts w:hint="eastAsia" w:ascii="宋体" w:hAnsi="宋体" w:cs="仿宋"/>
                <w:color w:val="000000"/>
                <w:szCs w:val="21"/>
              </w:rPr>
              <w:t>公里</w:t>
            </w:r>
            <w:r>
              <w:rPr>
                <w:rFonts w:ascii="宋体" w:hAnsi="宋体" w:cs="仿宋"/>
                <w:color w:val="000000"/>
                <w:szCs w:val="21"/>
              </w:rPr>
              <w:t xml:space="preserve"> </w:t>
            </w:r>
            <w:r>
              <w:rPr>
                <w:rFonts w:hint="eastAsia" w:ascii="宋体" w:hAnsi="宋体" w:cs="仿宋"/>
                <w:color w:val="000000"/>
                <w:szCs w:val="21"/>
              </w:rPr>
              <w:t>）</w:t>
            </w:r>
            <w:r>
              <w:rPr>
                <w:rFonts w:ascii="宋体" w:hAnsi="宋体" w:cs="仿宋"/>
                <w:color w:val="000000"/>
                <w:szCs w:val="21"/>
              </w:rPr>
              <w:t xml:space="preserve"> 8</w:t>
            </w:r>
            <w:r>
              <w:rPr>
                <w:rFonts w:hint="eastAsia" w:ascii="宋体" w:hAnsi="宋体" w:cs="仿宋"/>
                <w:color w:val="000000"/>
                <w:szCs w:val="21"/>
              </w:rPr>
              <w:t>元（</w:t>
            </w:r>
            <w:r>
              <w:rPr>
                <w:rFonts w:ascii="宋体" w:hAnsi="宋体" w:cs="仿宋"/>
                <w:color w:val="000000"/>
                <w:szCs w:val="21"/>
              </w:rPr>
              <w:t>8-10</w:t>
            </w:r>
            <w:r>
              <w:rPr>
                <w:rFonts w:hint="eastAsia" w:ascii="宋体" w:hAnsi="宋体" w:cs="仿宋"/>
                <w:color w:val="000000"/>
                <w:szCs w:val="21"/>
              </w:rPr>
              <w:t>公里</w:t>
            </w:r>
            <w:r>
              <w:rPr>
                <w:rFonts w:ascii="宋体" w:hAnsi="宋体" w:cs="仿宋"/>
                <w:color w:val="000000"/>
                <w:szCs w:val="21"/>
              </w:rPr>
              <w:t xml:space="preserve"> </w:t>
            </w:r>
            <w:r>
              <w:rPr>
                <w:rFonts w:hint="eastAsia" w:ascii="宋体" w:hAnsi="宋体" w:cs="仿宋"/>
                <w:color w:val="000000"/>
                <w:szCs w:val="21"/>
              </w:rPr>
              <w:t>）</w:t>
            </w:r>
            <w:r>
              <w:rPr>
                <w:rFonts w:ascii="宋体" w:hAnsi="宋体" w:cs="仿宋"/>
                <w:color w:val="000000"/>
                <w:szCs w:val="21"/>
              </w:rPr>
              <w:t>9</w:t>
            </w:r>
            <w:r>
              <w:rPr>
                <w:rFonts w:hint="eastAsia" w:ascii="宋体" w:hAnsi="宋体" w:cs="仿宋"/>
                <w:color w:val="000000"/>
                <w:szCs w:val="21"/>
              </w:rPr>
              <w:t>元（</w:t>
            </w:r>
            <w:r>
              <w:rPr>
                <w:rFonts w:ascii="宋体" w:hAnsi="宋体" w:cs="仿宋"/>
                <w:color w:val="000000"/>
                <w:szCs w:val="21"/>
              </w:rPr>
              <w:t>10</w:t>
            </w:r>
            <w:r>
              <w:rPr>
                <w:rFonts w:hint="eastAsia" w:ascii="宋体" w:hAnsi="宋体" w:cs="仿宋"/>
                <w:color w:val="000000"/>
                <w:szCs w:val="21"/>
              </w:rPr>
              <w:t>公里以上</w:t>
            </w:r>
            <w:r>
              <w:rPr>
                <w:rFonts w:ascii="宋体" w:hAnsi="宋体" w:cs="仿宋"/>
                <w:color w:val="000000"/>
                <w:szCs w:val="21"/>
              </w:rPr>
              <w:t xml:space="preserve"> </w:t>
            </w:r>
            <w:r>
              <w:rPr>
                <w:rFonts w:hint="eastAsia" w:ascii="宋体" w:hAnsi="宋体" w:cs="仿宋"/>
                <w:color w:val="000000"/>
                <w:szCs w:val="21"/>
              </w:rPr>
              <w:t>），供应商在报价明细表中所报相关对应单价不可大于此标准。且因乘车人数天数均为估值，供应商应考虑全部风险因素进行报价，最后以实际人数和天数收取此部分车费。</w:t>
            </w:r>
          </w:p>
          <w:p w14:paraId="3FF36A2C">
            <w:pPr>
              <w:adjustRightInd w:val="0"/>
              <w:snapToGrid w:val="0"/>
              <w:ind w:firstLine="472" w:firstLineChars="224"/>
              <w:rPr>
                <w:rFonts w:ascii="宋体" w:cs="仿宋"/>
                <w:color w:val="000000"/>
                <w:szCs w:val="21"/>
              </w:rPr>
            </w:pPr>
            <w:r>
              <w:rPr>
                <w:rFonts w:hint="eastAsia" w:ascii="宋体" w:hAnsi="宋体" w:cs="仿宋"/>
                <w:b/>
                <w:bCs/>
                <w:color w:val="000000"/>
                <w:szCs w:val="21"/>
              </w:rPr>
              <w:t>政府补贴标准（拟定）：</w:t>
            </w:r>
            <w:r>
              <w:rPr>
                <w:rFonts w:hint="eastAsia" w:ascii="宋体" w:hAnsi="宋体" w:cs="仿宋"/>
                <w:color w:val="000000"/>
                <w:szCs w:val="21"/>
              </w:rPr>
              <w:t>政府补贴标准均为每车每趟每座补贴</w:t>
            </w:r>
            <w:r>
              <w:rPr>
                <w:rFonts w:ascii="宋体" w:hAnsi="宋体" w:cs="仿宋"/>
                <w:color w:val="000000"/>
                <w:szCs w:val="21"/>
              </w:rPr>
              <w:t>2.03</w:t>
            </w:r>
            <w:r>
              <w:rPr>
                <w:rFonts w:hint="eastAsia" w:ascii="宋体" w:hAnsi="宋体" w:cs="仿宋"/>
                <w:color w:val="000000"/>
                <w:szCs w:val="21"/>
              </w:rPr>
              <w:t>元，总概算约</w:t>
            </w:r>
            <w:r>
              <w:rPr>
                <w:rFonts w:ascii="宋体" w:hAnsi="宋体" w:cs="仿宋"/>
                <w:color w:val="000000"/>
                <w:szCs w:val="21"/>
              </w:rPr>
              <w:t>887,110</w:t>
            </w:r>
            <w:r>
              <w:rPr>
                <w:rFonts w:hint="eastAsia" w:ascii="宋体" w:hAnsi="宋体" w:cs="仿宋"/>
                <w:color w:val="000000"/>
                <w:szCs w:val="21"/>
              </w:rPr>
              <w:t>元，为最高补贴款，供应商应根据运营方案合理报价，中标之后，根据实际运营情况结算政府补贴款，但总价不能超过最高补贴款。</w:t>
            </w:r>
          </w:p>
        </w:tc>
        <w:tc>
          <w:tcPr>
            <w:tcW w:w="2693" w:type="dxa"/>
          </w:tcPr>
          <w:p w14:paraId="64674B51">
            <w:pPr>
              <w:adjustRightInd w:val="0"/>
              <w:snapToGrid w:val="0"/>
              <w:ind w:firstLine="420" w:firstLineChars="200"/>
              <w:contextualSpacing/>
              <w:rPr>
                <w:rFonts w:ascii="宋体" w:cs="仿宋"/>
                <w:b/>
                <w:color w:val="000000"/>
                <w:szCs w:val="21"/>
              </w:rPr>
            </w:pPr>
            <w:r>
              <w:rPr>
                <w:rFonts w:hint="eastAsia" w:ascii="宋体" w:hAnsi="宋体" w:cs="仿宋"/>
                <w:color w:val="000000"/>
                <w:szCs w:val="21"/>
              </w:rPr>
              <w:t>本公司提供符合国家规定标准的专业校车，即提供符合《国家校车安全管理条例》的车辆，有校车使用许可证明。</w:t>
            </w:r>
          </w:p>
          <w:p w14:paraId="2807E047">
            <w:pPr>
              <w:adjustRightInd w:val="0"/>
              <w:snapToGrid w:val="0"/>
              <w:ind w:firstLine="480"/>
              <w:contextualSpacing/>
              <w:rPr>
                <w:rFonts w:ascii="宋体" w:cs="仿宋"/>
                <w:b/>
                <w:color w:val="000000"/>
                <w:szCs w:val="21"/>
              </w:rPr>
            </w:pPr>
            <w:r>
              <w:rPr>
                <w:rFonts w:ascii="宋体" w:hAnsi="宋体" w:cs="仿宋"/>
                <w:b/>
                <w:color w:val="000000"/>
                <w:szCs w:val="21"/>
              </w:rPr>
              <w:t>1</w:t>
            </w:r>
            <w:r>
              <w:rPr>
                <w:rFonts w:hint="eastAsia" w:ascii="宋体" w:hAnsi="宋体" w:cs="仿宋"/>
                <w:b/>
                <w:color w:val="000000"/>
                <w:szCs w:val="21"/>
              </w:rPr>
              <w:t>、所需车辆及运营线路</w:t>
            </w:r>
          </w:p>
          <w:p w14:paraId="7E0A3AB5">
            <w:pPr>
              <w:adjustRightInd w:val="0"/>
              <w:snapToGrid w:val="0"/>
              <w:contextualSpacing/>
              <w:rPr>
                <w:rFonts w:ascii="宋体" w:cs="仿宋"/>
                <w:color w:val="000000"/>
                <w:szCs w:val="21"/>
              </w:rPr>
            </w:pPr>
            <w:r>
              <w:rPr>
                <w:rFonts w:hint="eastAsia" w:ascii="宋体" w:hAnsi="宋体" w:cs="仿宋"/>
                <w:color w:val="000000"/>
                <w:szCs w:val="21"/>
              </w:rPr>
              <w:t>公司提供标准校车</w:t>
            </w:r>
            <w:r>
              <w:rPr>
                <w:rFonts w:ascii="宋体" w:hAnsi="宋体" w:cs="仿宋"/>
                <w:color w:val="000000"/>
                <w:szCs w:val="21"/>
              </w:rPr>
              <w:t>24</w:t>
            </w:r>
            <w:r>
              <w:rPr>
                <w:rFonts w:hint="eastAsia" w:ascii="宋体" w:hAnsi="宋体" w:cs="仿宋"/>
                <w:color w:val="000000"/>
                <w:szCs w:val="21"/>
              </w:rPr>
              <w:t>辆（以试运营后确定的人数、线路、车辆数为准）。其中：</w:t>
            </w:r>
          </w:p>
          <w:p w14:paraId="4B90EED3">
            <w:pPr>
              <w:adjustRightInd w:val="0"/>
              <w:snapToGrid w:val="0"/>
              <w:contextualSpacing/>
              <w:rPr>
                <w:rFonts w:ascii="宋体" w:cs="仿宋"/>
                <w:b/>
                <w:bCs/>
                <w:color w:val="000000"/>
                <w:szCs w:val="21"/>
              </w:rPr>
            </w:pPr>
            <w:r>
              <w:rPr>
                <w:rFonts w:ascii="宋体" w:hAnsi="宋体" w:cs="仿宋"/>
                <w:b/>
                <w:bCs/>
                <w:color w:val="000000"/>
                <w:szCs w:val="21"/>
              </w:rPr>
              <w:t>A.</w:t>
            </w:r>
            <w:r>
              <w:rPr>
                <w:rFonts w:hint="eastAsia" w:ascii="宋体" w:hAnsi="宋体" w:cs="仿宋"/>
                <w:b/>
                <w:bCs/>
                <w:color w:val="000000"/>
                <w:szCs w:val="21"/>
              </w:rPr>
              <w:t>区直学校：</w:t>
            </w:r>
          </w:p>
          <w:p w14:paraId="32D4563D">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有乘车需求的学校</w:t>
            </w:r>
            <w:r>
              <w:rPr>
                <w:rFonts w:ascii="宋体" w:hAnsi="宋体" w:cs="仿宋"/>
                <w:color w:val="000000"/>
                <w:szCs w:val="21"/>
              </w:rPr>
              <w:t>1</w:t>
            </w:r>
            <w:r>
              <w:rPr>
                <w:rFonts w:hint="eastAsia" w:ascii="宋体" w:hAnsi="宋体" w:cs="仿宋"/>
                <w:color w:val="000000"/>
                <w:szCs w:val="21"/>
              </w:rPr>
              <w:t>所（旧堡小学），分</w:t>
            </w:r>
            <w:r>
              <w:rPr>
                <w:rFonts w:ascii="宋体" w:hAnsi="宋体" w:cs="仿宋"/>
                <w:color w:val="000000"/>
                <w:szCs w:val="21"/>
              </w:rPr>
              <w:t>1</w:t>
            </w:r>
            <w:r>
              <w:rPr>
                <w:rFonts w:hint="eastAsia" w:ascii="宋体" w:hAnsi="宋体" w:cs="仿宋"/>
                <w:color w:val="000000"/>
                <w:szCs w:val="21"/>
              </w:rPr>
              <w:t>条线路（腾鳌</w:t>
            </w:r>
            <w:r>
              <w:rPr>
                <w:rFonts w:ascii="宋体" w:hAnsi="宋体" w:cs="仿宋"/>
                <w:color w:val="000000"/>
                <w:szCs w:val="21"/>
              </w:rPr>
              <w:t>—</w:t>
            </w:r>
            <w:r>
              <w:rPr>
                <w:rFonts w:hint="eastAsia" w:ascii="宋体" w:hAnsi="宋体" w:cs="仿宋"/>
                <w:color w:val="000000"/>
                <w:szCs w:val="21"/>
              </w:rPr>
              <w:t>旧堡小学），提供</w:t>
            </w:r>
            <w:r>
              <w:rPr>
                <w:rFonts w:ascii="宋体" w:hAnsi="宋体" w:cs="仿宋"/>
                <w:color w:val="000000"/>
                <w:szCs w:val="21"/>
              </w:rPr>
              <w:t>1</w:t>
            </w:r>
            <w:r>
              <w:rPr>
                <w:rFonts w:hint="eastAsia" w:ascii="宋体" w:hAnsi="宋体" w:cs="仿宋"/>
                <w:color w:val="000000"/>
                <w:szCs w:val="21"/>
              </w:rPr>
              <w:t>台校车。</w:t>
            </w:r>
            <w:r>
              <w:rPr>
                <w:rFonts w:ascii="宋体" w:hAnsi="宋体" w:cs="仿宋"/>
                <w:color w:val="000000"/>
                <w:szCs w:val="21"/>
              </w:rPr>
              <w:t xml:space="preserve">      </w:t>
            </w:r>
          </w:p>
          <w:p w14:paraId="3234A509">
            <w:pPr>
              <w:adjustRightInd w:val="0"/>
              <w:snapToGrid w:val="0"/>
              <w:ind w:left="422"/>
              <w:contextualSpacing/>
              <w:rPr>
                <w:rFonts w:ascii="宋体" w:cs="仿宋"/>
                <w:b/>
                <w:bCs/>
                <w:color w:val="000000"/>
                <w:szCs w:val="21"/>
              </w:rPr>
            </w:pPr>
            <w:r>
              <w:rPr>
                <w:rFonts w:ascii="宋体" w:hAnsi="宋体" w:cs="仿宋"/>
                <w:b/>
                <w:bCs/>
                <w:color w:val="000000"/>
                <w:szCs w:val="21"/>
              </w:rPr>
              <w:t>B.</w:t>
            </w:r>
            <w:r>
              <w:rPr>
                <w:rFonts w:hint="eastAsia" w:ascii="宋体" w:hAnsi="宋体" w:cs="仿宋"/>
                <w:b/>
                <w:bCs/>
                <w:color w:val="000000"/>
                <w:szCs w:val="21"/>
              </w:rPr>
              <w:t>镇属学校：</w:t>
            </w:r>
          </w:p>
          <w:p w14:paraId="2DB2E7F9">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w:t>
            </w:r>
            <w:r>
              <w:rPr>
                <w:rFonts w:ascii="宋体" w:hAnsi="宋体" w:cs="仿宋"/>
                <w:color w:val="000000"/>
                <w:szCs w:val="21"/>
              </w:rPr>
              <w:t>1</w:t>
            </w:r>
            <w:r>
              <w:rPr>
                <w:rFonts w:hint="eastAsia" w:ascii="宋体" w:hAnsi="宋体" w:cs="仿宋"/>
                <w:color w:val="000000"/>
                <w:szCs w:val="21"/>
              </w:rPr>
              <w:t>）东鞍山街道有乘车需求的学校</w:t>
            </w:r>
            <w:r>
              <w:rPr>
                <w:rFonts w:ascii="宋体" w:hAnsi="宋体" w:cs="仿宋"/>
                <w:color w:val="000000"/>
                <w:szCs w:val="21"/>
              </w:rPr>
              <w:t>1</w:t>
            </w:r>
            <w:r>
              <w:rPr>
                <w:rFonts w:hint="eastAsia" w:ascii="宋体" w:hAnsi="宋体" w:cs="仿宋"/>
                <w:color w:val="000000"/>
                <w:szCs w:val="21"/>
              </w:rPr>
              <w:t>所（东鞍山学校），分</w:t>
            </w:r>
            <w:r>
              <w:rPr>
                <w:rFonts w:ascii="宋体" w:hAnsi="宋体" w:cs="仿宋"/>
                <w:color w:val="000000"/>
                <w:szCs w:val="21"/>
              </w:rPr>
              <w:t>2</w:t>
            </w:r>
            <w:r>
              <w:rPr>
                <w:rFonts w:hint="eastAsia" w:ascii="宋体" w:hAnsi="宋体" w:cs="仿宋"/>
                <w:color w:val="000000"/>
                <w:szCs w:val="21"/>
              </w:rPr>
              <w:t>条线路（中所屯</w:t>
            </w:r>
            <w:r>
              <w:rPr>
                <w:rFonts w:ascii="宋体" w:hAnsi="宋体" w:cs="仿宋"/>
                <w:color w:val="000000"/>
                <w:szCs w:val="21"/>
              </w:rPr>
              <w:t>—</w:t>
            </w:r>
            <w:r>
              <w:rPr>
                <w:rFonts w:hint="eastAsia" w:ascii="宋体" w:hAnsi="宋体" w:cs="仿宋"/>
                <w:color w:val="000000"/>
                <w:szCs w:val="21"/>
              </w:rPr>
              <w:t>东鞍山学校，网户屯</w:t>
            </w:r>
            <w:r>
              <w:rPr>
                <w:rFonts w:ascii="宋体" w:hAnsi="宋体" w:cs="仿宋"/>
                <w:color w:val="000000"/>
                <w:szCs w:val="21"/>
              </w:rPr>
              <w:t>—</w:t>
            </w:r>
            <w:r>
              <w:rPr>
                <w:rFonts w:hint="eastAsia" w:ascii="宋体" w:hAnsi="宋体" w:cs="仿宋"/>
                <w:color w:val="000000"/>
                <w:szCs w:val="21"/>
              </w:rPr>
              <w:t>东鞍山学校），提供</w:t>
            </w:r>
            <w:r>
              <w:rPr>
                <w:rFonts w:ascii="宋体" w:hAnsi="宋体" w:cs="仿宋"/>
                <w:color w:val="000000"/>
                <w:szCs w:val="21"/>
              </w:rPr>
              <w:t>1</w:t>
            </w:r>
            <w:r>
              <w:rPr>
                <w:rFonts w:hint="eastAsia" w:ascii="宋体" w:hAnsi="宋体" w:cs="仿宋"/>
                <w:color w:val="000000"/>
                <w:szCs w:val="21"/>
              </w:rPr>
              <w:t>台校车。</w:t>
            </w:r>
          </w:p>
          <w:p w14:paraId="41FA1198">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w:t>
            </w:r>
            <w:r>
              <w:rPr>
                <w:rFonts w:ascii="宋体" w:hAnsi="宋体" w:cs="仿宋"/>
                <w:color w:val="000000"/>
                <w:szCs w:val="21"/>
              </w:rPr>
              <w:t>2</w:t>
            </w:r>
            <w:r>
              <w:rPr>
                <w:rFonts w:hint="eastAsia" w:ascii="宋体" w:hAnsi="宋体" w:cs="仿宋"/>
                <w:color w:val="000000"/>
                <w:szCs w:val="21"/>
              </w:rPr>
              <w:t>）甘泉镇有乘车需求的学校</w:t>
            </w:r>
            <w:r>
              <w:rPr>
                <w:rFonts w:ascii="宋体" w:hAnsi="宋体" w:cs="仿宋"/>
                <w:color w:val="000000"/>
                <w:szCs w:val="21"/>
              </w:rPr>
              <w:t>2</w:t>
            </w:r>
            <w:r>
              <w:rPr>
                <w:rFonts w:hint="eastAsia" w:ascii="宋体" w:hAnsi="宋体" w:cs="仿宋"/>
                <w:color w:val="000000"/>
                <w:szCs w:val="21"/>
              </w:rPr>
              <w:t>所（甘泉中学、甘泉镇小学中心校），分</w:t>
            </w:r>
            <w:r>
              <w:rPr>
                <w:rFonts w:ascii="宋体" w:hAnsi="宋体" w:cs="仿宋"/>
                <w:color w:val="000000"/>
                <w:szCs w:val="21"/>
              </w:rPr>
              <w:t>12</w:t>
            </w:r>
            <w:r>
              <w:rPr>
                <w:rFonts w:hint="eastAsia" w:ascii="宋体" w:hAnsi="宋体" w:cs="仿宋"/>
                <w:color w:val="000000"/>
                <w:szCs w:val="21"/>
              </w:rPr>
              <w:t>条路线，提供</w:t>
            </w:r>
            <w:r>
              <w:rPr>
                <w:rFonts w:ascii="宋体" w:hAnsi="宋体" w:cs="仿宋"/>
                <w:color w:val="000000"/>
                <w:szCs w:val="21"/>
              </w:rPr>
              <w:t>6</w:t>
            </w:r>
            <w:r>
              <w:rPr>
                <w:rFonts w:hint="eastAsia" w:ascii="宋体" w:hAnsi="宋体" w:cs="仿宋"/>
                <w:color w:val="000000"/>
                <w:szCs w:val="21"/>
              </w:rPr>
              <w:t>台校车；其中：</w:t>
            </w:r>
          </w:p>
          <w:p w14:paraId="62823339">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小学线路：宝石山</w:t>
            </w:r>
            <w:r>
              <w:rPr>
                <w:rFonts w:ascii="宋体" w:hAnsi="宋体" w:cs="仿宋"/>
                <w:color w:val="000000"/>
                <w:szCs w:val="21"/>
              </w:rPr>
              <w:t>—</w:t>
            </w:r>
            <w:r>
              <w:rPr>
                <w:rFonts w:hint="eastAsia" w:ascii="宋体" w:hAnsi="宋体" w:cs="仿宋"/>
                <w:color w:val="000000"/>
                <w:szCs w:val="21"/>
              </w:rPr>
              <w:t>甘泉镇小学中心校，双庙子</w:t>
            </w:r>
            <w:r>
              <w:rPr>
                <w:rFonts w:ascii="宋体" w:hAnsi="宋体" w:cs="仿宋"/>
                <w:color w:val="000000"/>
                <w:szCs w:val="21"/>
              </w:rPr>
              <w:t>—</w:t>
            </w:r>
            <w:r>
              <w:rPr>
                <w:rFonts w:hint="eastAsia" w:ascii="宋体" w:hAnsi="宋体" w:cs="仿宋"/>
                <w:color w:val="000000"/>
                <w:szCs w:val="21"/>
              </w:rPr>
              <w:t>甘泉镇小学中心校，管饭寺</w:t>
            </w:r>
            <w:r>
              <w:rPr>
                <w:rFonts w:ascii="宋体" w:hAnsi="宋体" w:cs="仿宋"/>
                <w:color w:val="000000"/>
                <w:szCs w:val="21"/>
              </w:rPr>
              <w:t>—</w:t>
            </w:r>
            <w:r>
              <w:rPr>
                <w:rFonts w:hint="eastAsia" w:ascii="宋体" w:hAnsi="宋体" w:cs="仿宋"/>
                <w:color w:val="000000"/>
                <w:szCs w:val="21"/>
              </w:rPr>
              <w:t>甘泉镇小学中心校，杨相屯</w:t>
            </w:r>
            <w:r>
              <w:rPr>
                <w:rFonts w:ascii="宋体" w:hAnsi="宋体" w:cs="仿宋"/>
                <w:color w:val="000000"/>
                <w:szCs w:val="21"/>
              </w:rPr>
              <w:t>—</w:t>
            </w:r>
            <w:r>
              <w:rPr>
                <w:rFonts w:hint="eastAsia" w:ascii="宋体" w:hAnsi="宋体" w:cs="仿宋"/>
                <w:color w:val="000000"/>
                <w:szCs w:val="21"/>
              </w:rPr>
              <w:t>甘泉镇小学中心校，龙湾</w:t>
            </w:r>
            <w:r>
              <w:rPr>
                <w:rFonts w:ascii="宋体" w:hAnsi="宋体" w:cs="仿宋"/>
                <w:color w:val="000000"/>
                <w:szCs w:val="21"/>
              </w:rPr>
              <w:t>—</w:t>
            </w:r>
            <w:r>
              <w:rPr>
                <w:rFonts w:hint="eastAsia" w:ascii="宋体" w:hAnsi="宋体" w:cs="仿宋"/>
                <w:color w:val="000000"/>
                <w:szCs w:val="21"/>
              </w:rPr>
              <w:t>甘泉镇小学中心校，兴隆</w:t>
            </w:r>
            <w:r>
              <w:rPr>
                <w:rFonts w:ascii="宋体" w:hAnsi="宋体" w:cs="仿宋"/>
                <w:color w:val="000000"/>
                <w:szCs w:val="21"/>
              </w:rPr>
              <w:t>—</w:t>
            </w:r>
            <w:r>
              <w:rPr>
                <w:rFonts w:hint="eastAsia" w:ascii="宋体" w:hAnsi="宋体" w:cs="仿宋"/>
                <w:color w:val="000000"/>
                <w:szCs w:val="21"/>
              </w:rPr>
              <w:t>甘泉镇小学中心校，于家沟</w:t>
            </w:r>
            <w:r>
              <w:rPr>
                <w:rFonts w:ascii="宋体" w:hAnsi="宋体" w:cs="仿宋"/>
                <w:color w:val="000000"/>
                <w:szCs w:val="21"/>
              </w:rPr>
              <w:t>—</w:t>
            </w:r>
            <w:r>
              <w:rPr>
                <w:rFonts w:hint="eastAsia" w:ascii="宋体" w:hAnsi="宋体" w:cs="仿宋"/>
                <w:color w:val="000000"/>
                <w:szCs w:val="21"/>
              </w:rPr>
              <w:t>甘泉镇小学中心校。</w:t>
            </w:r>
          </w:p>
          <w:p w14:paraId="1F5E4AFC">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中学线路：宝石山</w:t>
            </w:r>
            <w:r>
              <w:rPr>
                <w:rFonts w:ascii="宋体" w:hAnsi="宋体" w:cs="仿宋"/>
                <w:color w:val="000000"/>
                <w:szCs w:val="21"/>
              </w:rPr>
              <w:t>—</w:t>
            </w:r>
            <w:r>
              <w:rPr>
                <w:rFonts w:hint="eastAsia" w:ascii="宋体" w:hAnsi="宋体" w:cs="仿宋"/>
                <w:color w:val="000000"/>
                <w:szCs w:val="21"/>
              </w:rPr>
              <w:t>甘泉中学，双庙子</w:t>
            </w:r>
            <w:r>
              <w:rPr>
                <w:rFonts w:ascii="宋体" w:hAnsi="宋体" w:cs="仿宋"/>
                <w:color w:val="000000"/>
                <w:szCs w:val="21"/>
              </w:rPr>
              <w:t>—</w:t>
            </w:r>
            <w:r>
              <w:rPr>
                <w:rFonts w:hint="eastAsia" w:ascii="宋体" w:hAnsi="宋体" w:cs="仿宋"/>
                <w:color w:val="000000"/>
                <w:szCs w:val="21"/>
              </w:rPr>
              <w:t>甘泉中学，管饭寺</w:t>
            </w:r>
            <w:r>
              <w:rPr>
                <w:rFonts w:ascii="宋体" w:hAnsi="宋体" w:cs="仿宋"/>
                <w:color w:val="000000"/>
                <w:szCs w:val="21"/>
              </w:rPr>
              <w:t>—</w:t>
            </w:r>
            <w:r>
              <w:rPr>
                <w:rFonts w:hint="eastAsia" w:ascii="宋体" w:hAnsi="宋体" w:cs="仿宋"/>
                <w:color w:val="000000"/>
                <w:szCs w:val="21"/>
              </w:rPr>
              <w:t>甘泉中学，龙湾</w:t>
            </w:r>
            <w:r>
              <w:rPr>
                <w:rFonts w:ascii="宋体" w:hAnsi="宋体" w:cs="仿宋"/>
                <w:color w:val="000000"/>
                <w:szCs w:val="21"/>
              </w:rPr>
              <w:t>—</w:t>
            </w:r>
            <w:r>
              <w:rPr>
                <w:rFonts w:hint="eastAsia" w:ascii="宋体" w:hAnsi="宋体" w:cs="仿宋"/>
                <w:color w:val="000000"/>
                <w:szCs w:val="21"/>
              </w:rPr>
              <w:t>甘泉中学，兴隆</w:t>
            </w:r>
            <w:r>
              <w:rPr>
                <w:rFonts w:ascii="宋体" w:hAnsi="宋体" w:cs="仿宋"/>
                <w:color w:val="000000"/>
                <w:szCs w:val="21"/>
              </w:rPr>
              <w:t>—</w:t>
            </w:r>
            <w:r>
              <w:rPr>
                <w:rFonts w:hint="eastAsia" w:ascii="宋体" w:hAnsi="宋体" w:cs="仿宋"/>
                <w:color w:val="000000"/>
                <w:szCs w:val="21"/>
              </w:rPr>
              <w:t>甘泉中学。</w:t>
            </w:r>
          </w:p>
          <w:p w14:paraId="79FBBF03">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w:t>
            </w:r>
            <w:r>
              <w:rPr>
                <w:rFonts w:ascii="宋体" w:hAnsi="宋体" w:cs="仿宋"/>
                <w:color w:val="000000"/>
                <w:szCs w:val="21"/>
              </w:rPr>
              <w:t>3</w:t>
            </w:r>
            <w:r>
              <w:rPr>
                <w:rFonts w:hint="eastAsia" w:ascii="宋体" w:hAnsi="宋体" w:cs="仿宋"/>
                <w:color w:val="000000"/>
                <w:szCs w:val="21"/>
              </w:rPr>
              <w:t>）唐家房镇有乘车需求的学校</w:t>
            </w:r>
            <w:r>
              <w:rPr>
                <w:rFonts w:ascii="宋体" w:hAnsi="宋体" w:cs="仿宋"/>
                <w:color w:val="000000"/>
                <w:szCs w:val="21"/>
              </w:rPr>
              <w:t>1</w:t>
            </w:r>
            <w:r>
              <w:rPr>
                <w:rFonts w:hint="eastAsia" w:ascii="宋体" w:hAnsi="宋体" w:cs="仿宋"/>
                <w:color w:val="000000"/>
                <w:szCs w:val="21"/>
              </w:rPr>
              <w:t>所（唐家房镇小学中心校），分</w:t>
            </w:r>
            <w:r>
              <w:rPr>
                <w:rFonts w:ascii="宋体" w:hAnsi="宋体" w:cs="仿宋"/>
                <w:color w:val="000000"/>
                <w:szCs w:val="21"/>
              </w:rPr>
              <w:t>4</w:t>
            </w:r>
            <w:r>
              <w:rPr>
                <w:rFonts w:hint="eastAsia" w:ascii="宋体" w:hAnsi="宋体" w:cs="仿宋"/>
                <w:color w:val="000000"/>
                <w:szCs w:val="21"/>
              </w:rPr>
              <w:t>条线路（李氏房</w:t>
            </w:r>
            <w:r>
              <w:rPr>
                <w:rFonts w:ascii="宋体" w:hAnsi="宋体" w:cs="仿宋"/>
                <w:color w:val="000000"/>
                <w:szCs w:val="21"/>
              </w:rPr>
              <w:t>—</w:t>
            </w:r>
            <w:r>
              <w:rPr>
                <w:rFonts w:hint="eastAsia" w:ascii="宋体" w:hAnsi="宋体" w:cs="仿宋"/>
                <w:color w:val="000000"/>
                <w:szCs w:val="21"/>
              </w:rPr>
              <w:t>唐家房镇小学中心校，顾家房</w:t>
            </w:r>
            <w:r>
              <w:rPr>
                <w:rFonts w:ascii="宋体" w:hAnsi="宋体" w:cs="仿宋"/>
                <w:color w:val="000000"/>
                <w:szCs w:val="21"/>
              </w:rPr>
              <w:t>—</w:t>
            </w:r>
            <w:r>
              <w:rPr>
                <w:rFonts w:hint="eastAsia" w:ascii="宋体" w:hAnsi="宋体" w:cs="仿宋"/>
                <w:color w:val="000000"/>
                <w:szCs w:val="21"/>
              </w:rPr>
              <w:t>唐家房镇小学中心校，枣峪</w:t>
            </w:r>
            <w:r>
              <w:rPr>
                <w:rFonts w:ascii="宋体" w:hAnsi="宋体" w:cs="仿宋"/>
                <w:color w:val="000000"/>
                <w:szCs w:val="21"/>
              </w:rPr>
              <w:t>—</w:t>
            </w:r>
            <w:r>
              <w:rPr>
                <w:rFonts w:hint="eastAsia" w:ascii="宋体" w:hAnsi="宋体" w:cs="仿宋"/>
                <w:color w:val="000000"/>
                <w:szCs w:val="21"/>
              </w:rPr>
              <w:t>唐家房镇小学中心校），提供</w:t>
            </w:r>
            <w:r>
              <w:rPr>
                <w:rFonts w:ascii="宋体" w:hAnsi="宋体" w:cs="仿宋"/>
                <w:color w:val="000000"/>
                <w:szCs w:val="21"/>
              </w:rPr>
              <w:t>2</w:t>
            </w:r>
            <w:r>
              <w:rPr>
                <w:rFonts w:hint="eastAsia" w:ascii="宋体" w:hAnsi="宋体" w:cs="仿宋"/>
                <w:color w:val="000000"/>
                <w:szCs w:val="21"/>
              </w:rPr>
              <w:t>台校车。原大孤山镇学生分</w:t>
            </w:r>
            <w:r>
              <w:rPr>
                <w:rFonts w:ascii="宋体" w:hAnsi="宋体" w:cs="仿宋"/>
                <w:color w:val="000000"/>
                <w:szCs w:val="21"/>
              </w:rPr>
              <w:t>1</w:t>
            </w:r>
            <w:r>
              <w:rPr>
                <w:rFonts w:hint="eastAsia" w:ascii="宋体" w:hAnsi="宋体" w:cs="仿宋"/>
                <w:color w:val="000000"/>
                <w:szCs w:val="21"/>
              </w:rPr>
              <w:t>条线路到唐家镇小学中心校，提供</w:t>
            </w:r>
            <w:r>
              <w:rPr>
                <w:rFonts w:ascii="宋体" w:hAnsi="宋体" w:cs="仿宋"/>
                <w:color w:val="000000"/>
                <w:szCs w:val="21"/>
              </w:rPr>
              <w:t>1</w:t>
            </w:r>
            <w:r>
              <w:rPr>
                <w:rFonts w:hint="eastAsia" w:ascii="宋体" w:hAnsi="宋体" w:cs="仿宋"/>
                <w:color w:val="000000"/>
                <w:szCs w:val="21"/>
              </w:rPr>
              <w:t>台校车。</w:t>
            </w:r>
          </w:p>
          <w:p w14:paraId="392DF2B0">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w:t>
            </w:r>
            <w:r>
              <w:rPr>
                <w:rFonts w:ascii="宋体" w:hAnsi="宋体" w:cs="仿宋"/>
                <w:color w:val="000000"/>
                <w:szCs w:val="21"/>
              </w:rPr>
              <w:t>4</w:t>
            </w:r>
            <w:r>
              <w:rPr>
                <w:rFonts w:hint="eastAsia" w:ascii="宋体" w:hAnsi="宋体" w:cs="仿宋"/>
                <w:color w:val="000000"/>
                <w:szCs w:val="21"/>
              </w:rPr>
              <w:t>）大屯镇有乘车需求的学校</w:t>
            </w:r>
            <w:r>
              <w:rPr>
                <w:rFonts w:ascii="宋体" w:hAnsi="宋体" w:cs="仿宋"/>
                <w:color w:val="000000"/>
                <w:szCs w:val="21"/>
              </w:rPr>
              <w:t>4</w:t>
            </w:r>
            <w:r>
              <w:rPr>
                <w:rFonts w:hint="eastAsia" w:ascii="宋体" w:hAnsi="宋体" w:cs="仿宋"/>
                <w:color w:val="000000"/>
                <w:szCs w:val="21"/>
              </w:rPr>
              <w:t>所（大屯中学、育英学校，白石寨小学，大屯镇小学中心校），分</w:t>
            </w:r>
            <w:r>
              <w:rPr>
                <w:rFonts w:ascii="宋体" w:hAnsi="宋体" w:cs="仿宋"/>
                <w:color w:val="000000"/>
                <w:szCs w:val="21"/>
              </w:rPr>
              <w:t>11</w:t>
            </w:r>
            <w:r>
              <w:rPr>
                <w:rFonts w:hint="eastAsia" w:ascii="宋体" w:hAnsi="宋体" w:cs="仿宋"/>
                <w:color w:val="000000"/>
                <w:szCs w:val="21"/>
              </w:rPr>
              <w:t>条线路，提供</w:t>
            </w:r>
            <w:r>
              <w:rPr>
                <w:rFonts w:ascii="宋体" w:hAnsi="宋体" w:cs="仿宋"/>
                <w:color w:val="000000"/>
                <w:szCs w:val="21"/>
              </w:rPr>
              <w:t>6</w:t>
            </w:r>
            <w:r>
              <w:rPr>
                <w:rFonts w:hint="eastAsia" w:ascii="宋体" w:hAnsi="宋体" w:cs="仿宋"/>
                <w:color w:val="000000"/>
                <w:szCs w:val="21"/>
              </w:rPr>
              <w:t>台校车；其中：</w:t>
            </w:r>
          </w:p>
          <w:p w14:paraId="769FC832">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小学线路：英不落</w:t>
            </w:r>
            <w:r>
              <w:rPr>
                <w:rFonts w:ascii="宋体" w:hAnsi="宋体" w:cs="仿宋"/>
                <w:color w:val="000000"/>
                <w:szCs w:val="21"/>
              </w:rPr>
              <w:t>—</w:t>
            </w:r>
            <w:r>
              <w:rPr>
                <w:rFonts w:hint="eastAsia" w:ascii="宋体" w:hAnsi="宋体" w:cs="仿宋"/>
                <w:color w:val="000000"/>
                <w:szCs w:val="21"/>
              </w:rPr>
              <w:t>育英学校，腰岭</w:t>
            </w:r>
            <w:r>
              <w:rPr>
                <w:rFonts w:ascii="宋体" w:hAnsi="宋体" w:cs="仿宋"/>
                <w:color w:val="000000"/>
                <w:szCs w:val="21"/>
              </w:rPr>
              <w:t>—</w:t>
            </w:r>
            <w:r>
              <w:rPr>
                <w:rFonts w:hint="eastAsia" w:ascii="宋体" w:hAnsi="宋体" w:cs="仿宋"/>
                <w:color w:val="000000"/>
                <w:szCs w:val="21"/>
              </w:rPr>
              <w:t>育英学校，山城沟</w:t>
            </w:r>
            <w:r>
              <w:rPr>
                <w:rFonts w:ascii="宋体" w:hAnsi="宋体" w:cs="仿宋"/>
                <w:color w:val="000000"/>
                <w:szCs w:val="21"/>
              </w:rPr>
              <w:t>—</w:t>
            </w:r>
            <w:r>
              <w:rPr>
                <w:rFonts w:hint="eastAsia" w:ascii="宋体" w:hAnsi="宋体" w:cs="仿宋"/>
                <w:color w:val="000000"/>
                <w:szCs w:val="21"/>
              </w:rPr>
              <w:t>育英学校，南白石</w:t>
            </w:r>
            <w:r>
              <w:rPr>
                <w:rFonts w:ascii="宋体" w:hAnsi="宋体" w:cs="仿宋"/>
                <w:color w:val="000000"/>
                <w:szCs w:val="21"/>
              </w:rPr>
              <w:t>—</w:t>
            </w:r>
            <w:r>
              <w:rPr>
                <w:rFonts w:hint="eastAsia" w:ascii="宋体" w:hAnsi="宋体" w:cs="仿宋"/>
                <w:color w:val="000000"/>
                <w:szCs w:val="21"/>
              </w:rPr>
              <w:t>白石寨小学，东白石</w:t>
            </w:r>
            <w:r>
              <w:rPr>
                <w:rFonts w:ascii="宋体" w:hAnsi="宋体" w:cs="仿宋"/>
                <w:color w:val="000000"/>
                <w:szCs w:val="21"/>
              </w:rPr>
              <w:t>—</w:t>
            </w:r>
            <w:r>
              <w:rPr>
                <w:rFonts w:hint="eastAsia" w:ascii="宋体" w:hAnsi="宋体" w:cs="仿宋"/>
                <w:color w:val="000000"/>
                <w:szCs w:val="21"/>
              </w:rPr>
              <w:t>白石寨小学，小台沟</w:t>
            </w:r>
            <w:r>
              <w:rPr>
                <w:rFonts w:ascii="宋体" w:hAnsi="宋体" w:cs="仿宋"/>
                <w:color w:val="000000"/>
                <w:szCs w:val="21"/>
              </w:rPr>
              <w:t>—</w:t>
            </w:r>
            <w:r>
              <w:rPr>
                <w:rFonts w:hint="eastAsia" w:ascii="宋体" w:hAnsi="宋体" w:cs="仿宋"/>
                <w:color w:val="000000"/>
                <w:szCs w:val="21"/>
              </w:rPr>
              <w:t>大屯镇中心小学。</w:t>
            </w:r>
          </w:p>
          <w:p w14:paraId="15B8E449">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中学线路：英不落</w:t>
            </w:r>
            <w:r>
              <w:rPr>
                <w:rFonts w:ascii="宋体" w:hAnsi="宋体" w:cs="仿宋"/>
                <w:color w:val="000000"/>
                <w:szCs w:val="21"/>
              </w:rPr>
              <w:t>—</w:t>
            </w:r>
            <w:r>
              <w:rPr>
                <w:rFonts w:hint="eastAsia" w:ascii="宋体" w:hAnsi="宋体" w:cs="仿宋"/>
                <w:color w:val="000000"/>
                <w:szCs w:val="21"/>
              </w:rPr>
              <w:t>育英学校</w:t>
            </w:r>
          </w:p>
          <w:p w14:paraId="56AA1575">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腰岭</w:t>
            </w:r>
            <w:r>
              <w:rPr>
                <w:rFonts w:ascii="宋体" w:hAnsi="宋体" w:cs="仿宋"/>
                <w:color w:val="000000"/>
                <w:szCs w:val="21"/>
              </w:rPr>
              <w:t>—</w:t>
            </w:r>
            <w:r>
              <w:rPr>
                <w:rFonts w:hint="eastAsia" w:ascii="宋体" w:hAnsi="宋体" w:cs="仿宋"/>
                <w:color w:val="000000"/>
                <w:szCs w:val="21"/>
              </w:rPr>
              <w:t>育英学校，山城沟</w:t>
            </w:r>
            <w:r>
              <w:rPr>
                <w:rFonts w:ascii="宋体" w:hAnsi="宋体" w:cs="仿宋"/>
                <w:color w:val="000000"/>
                <w:szCs w:val="21"/>
              </w:rPr>
              <w:t>—</w:t>
            </w:r>
            <w:r>
              <w:rPr>
                <w:rFonts w:hint="eastAsia" w:ascii="宋体" w:hAnsi="宋体" w:cs="仿宋"/>
                <w:color w:val="000000"/>
                <w:szCs w:val="21"/>
              </w:rPr>
              <w:t>育英学校，小台沟</w:t>
            </w:r>
            <w:r>
              <w:rPr>
                <w:rFonts w:ascii="宋体" w:hAnsi="宋体" w:cs="仿宋"/>
                <w:color w:val="000000"/>
                <w:szCs w:val="21"/>
              </w:rPr>
              <w:t>—</w:t>
            </w:r>
            <w:r>
              <w:rPr>
                <w:rFonts w:hint="eastAsia" w:ascii="宋体" w:hAnsi="宋体" w:cs="仿宋"/>
                <w:color w:val="000000"/>
                <w:szCs w:val="21"/>
              </w:rPr>
              <w:t>大屯中学，南白石</w:t>
            </w:r>
            <w:r>
              <w:rPr>
                <w:rFonts w:ascii="宋体" w:hAnsi="宋体" w:cs="仿宋"/>
                <w:color w:val="000000"/>
                <w:szCs w:val="21"/>
              </w:rPr>
              <w:t>—</w:t>
            </w:r>
            <w:r>
              <w:rPr>
                <w:rFonts w:hint="eastAsia" w:ascii="宋体" w:hAnsi="宋体" w:cs="仿宋"/>
                <w:color w:val="000000"/>
                <w:szCs w:val="21"/>
              </w:rPr>
              <w:t>大屯中学。</w:t>
            </w:r>
          </w:p>
          <w:p w14:paraId="5D05BAD7">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w:t>
            </w:r>
            <w:r>
              <w:rPr>
                <w:rFonts w:ascii="宋体" w:hAnsi="宋体" w:cs="仿宋"/>
                <w:color w:val="000000"/>
                <w:szCs w:val="21"/>
              </w:rPr>
              <w:t>5</w:t>
            </w:r>
            <w:r>
              <w:rPr>
                <w:rFonts w:hint="eastAsia" w:ascii="宋体" w:hAnsi="宋体" w:cs="仿宋"/>
                <w:color w:val="000000"/>
                <w:szCs w:val="21"/>
              </w:rPr>
              <w:t>）汤岗子街道有乘车需求的学校</w:t>
            </w:r>
            <w:r>
              <w:rPr>
                <w:rFonts w:ascii="宋体" w:hAnsi="宋体" w:cs="仿宋"/>
                <w:color w:val="000000"/>
                <w:szCs w:val="21"/>
              </w:rPr>
              <w:t>2</w:t>
            </w:r>
            <w:r>
              <w:rPr>
                <w:rFonts w:hint="eastAsia" w:ascii="宋体" w:hAnsi="宋体" w:cs="仿宋"/>
                <w:color w:val="000000"/>
                <w:szCs w:val="21"/>
              </w:rPr>
              <w:t>所（汤岗子镇小学中心校，汤岗子学校），分</w:t>
            </w:r>
            <w:r>
              <w:rPr>
                <w:rFonts w:ascii="宋体" w:hAnsi="宋体" w:cs="仿宋"/>
                <w:color w:val="000000"/>
                <w:szCs w:val="21"/>
              </w:rPr>
              <w:t>14</w:t>
            </w:r>
            <w:r>
              <w:rPr>
                <w:rFonts w:hint="eastAsia" w:ascii="宋体" w:hAnsi="宋体" w:cs="仿宋"/>
                <w:color w:val="000000"/>
                <w:szCs w:val="21"/>
              </w:rPr>
              <w:t>条线路，提供</w:t>
            </w:r>
            <w:r>
              <w:rPr>
                <w:rFonts w:ascii="宋体" w:hAnsi="宋体" w:cs="仿宋"/>
                <w:color w:val="000000"/>
                <w:szCs w:val="21"/>
              </w:rPr>
              <w:t>7</w:t>
            </w:r>
            <w:r>
              <w:rPr>
                <w:rFonts w:hint="eastAsia" w:ascii="宋体" w:hAnsi="宋体" w:cs="仿宋"/>
                <w:color w:val="000000"/>
                <w:szCs w:val="21"/>
              </w:rPr>
              <w:t>台校车，其中：</w:t>
            </w:r>
          </w:p>
          <w:p w14:paraId="0FAE873A">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小学线路：后英佳苑</w:t>
            </w:r>
            <w:r>
              <w:rPr>
                <w:rFonts w:ascii="宋体" w:hAnsi="宋体" w:cs="仿宋"/>
                <w:color w:val="000000"/>
                <w:szCs w:val="21"/>
              </w:rPr>
              <w:t>—</w:t>
            </w:r>
            <w:r>
              <w:rPr>
                <w:rFonts w:hint="eastAsia" w:ascii="宋体" w:hAnsi="宋体" w:cs="仿宋"/>
                <w:color w:val="000000"/>
                <w:szCs w:val="21"/>
              </w:rPr>
              <w:t>汤岗子镇小学中心校，小台沟</w:t>
            </w:r>
            <w:r>
              <w:rPr>
                <w:rFonts w:ascii="宋体" w:hAnsi="宋体" w:cs="仿宋"/>
                <w:color w:val="000000"/>
                <w:szCs w:val="21"/>
              </w:rPr>
              <w:t>—</w:t>
            </w:r>
            <w:r>
              <w:rPr>
                <w:rFonts w:hint="eastAsia" w:ascii="宋体" w:hAnsi="宋体" w:cs="仿宋"/>
                <w:color w:val="000000"/>
                <w:szCs w:val="21"/>
              </w:rPr>
              <w:t>汤岗子镇小学中心校，南于沟</w:t>
            </w:r>
            <w:r>
              <w:rPr>
                <w:rFonts w:ascii="宋体" w:hAnsi="宋体" w:cs="仿宋"/>
                <w:color w:val="000000"/>
                <w:szCs w:val="21"/>
              </w:rPr>
              <w:t>—</w:t>
            </w:r>
            <w:r>
              <w:rPr>
                <w:rFonts w:hint="eastAsia" w:ascii="宋体" w:hAnsi="宋体" w:cs="仿宋"/>
                <w:color w:val="000000"/>
                <w:szCs w:val="21"/>
              </w:rPr>
              <w:t>汤岗子镇小学中心校，杨家</w:t>
            </w:r>
            <w:r>
              <w:rPr>
                <w:rFonts w:ascii="宋体" w:hAnsi="宋体" w:cs="仿宋"/>
                <w:color w:val="000000"/>
                <w:szCs w:val="21"/>
              </w:rPr>
              <w:t>—22</w:t>
            </w:r>
            <w:r>
              <w:rPr>
                <w:rFonts w:hint="eastAsia" w:ascii="宋体" w:hAnsi="宋体" w:cs="仿宋"/>
                <w:color w:val="000000"/>
                <w:szCs w:val="21"/>
              </w:rPr>
              <w:t>中学小学部，罗家</w:t>
            </w:r>
            <w:r>
              <w:rPr>
                <w:rFonts w:ascii="宋体" w:hAnsi="宋体" w:cs="仿宋"/>
                <w:color w:val="000000"/>
                <w:szCs w:val="21"/>
              </w:rPr>
              <w:t>—22</w:t>
            </w:r>
            <w:r>
              <w:rPr>
                <w:rFonts w:hint="eastAsia" w:ascii="宋体" w:hAnsi="宋体" w:cs="仿宋"/>
                <w:color w:val="000000"/>
                <w:szCs w:val="21"/>
              </w:rPr>
              <w:t>中学小学部，老虎屯</w:t>
            </w:r>
            <w:r>
              <w:rPr>
                <w:rFonts w:ascii="宋体" w:hAnsi="宋体" w:cs="仿宋"/>
                <w:color w:val="000000"/>
                <w:szCs w:val="21"/>
              </w:rPr>
              <w:t>—22</w:t>
            </w:r>
            <w:r>
              <w:rPr>
                <w:rFonts w:hint="eastAsia" w:ascii="宋体" w:hAnsi="宋体" w:cs="仿宋"/>
                <w:color w:val="000000"/>
                <w:szCs w:val="21"/>
              </w:rPr>
              <w:t>中学小学部，候角屯</w:t>
            </w:r>
            <w:r>
              <w:rPr>
                <w:rFonts w:ascii="宋体" w:hAnsi="宋体" w:cs="仿宋"/>
                <w:color w:val="000000"/>
                <w:szCs w:val="21"/>
              </w:rPr>
              <w:t>—22</w:t>
            </w:r>
            <w:r>
              <w:rPr>
                <w:rFonts w:hint="eastAsia" w:ascii="宋体" w:hAnsi="宋体" w:cs="仿宋"/>
                <w:color w:val="000000"/>
                <w:szCs w:val="21"/>
              </w:rPr>
              <w:t>中学小学部，西汤河</w:t>
            </w:r>
            <w:r>
              <w:rPr>
                <w:rFonts w:ascii="宋体" w:hAnsi="宋体" w:cs="仿宋"/>
                <w:color w:val="000000"/>
                <w:szCs w:val="21"/>
              </w:rPr>
              <w:t>—22</w:t>
            </w:r>
            <w:r>
              <w:rPr>
                <w:rFonts w:hint="eastAsia" w:ascii="宋体" w:hAnsi="宋体" w:cs="仿宋"/>
                <w:color w:val="000000"/>
                <w:szCs w:val="21"/>
              </w:rPr>
              <w:t>中学小学部</w:t>
            </w:r>
          </w:p>
          <w:p w14:paraId="475943B0">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中学线路：龙岭</w:t>
            </w:r>
            <w:r>
              <w:rPr>
                <w:rFonts w:ascii="宋体" w:hAnsi="宋体" w:cs="仿宋"/>
                <w:color w:val="000000"/>
                <w:szCs w:val="21"/>
              </w:rPr>
              <w:t>—22</w:t>
            </w:r>
            <w:r>
              <w:rPr>
                <w:rFonts w:hint="eastAsia" w:ascii="宋体" w:hAnsi="宋体" w:cs="仿宋"/>
                <w:color w:val="000000"/>
                <w:szCs w:val="21"/>
              </w:rPr>
              <w:t>中学中学部，西汤河</w:t>
            </w:r>
            <w:r>
              <w:rPr>
                <w:rFonts w:ascii="宋体" w:hAnsi="宋体" w:cs="仿宋"/>
                <w:color w:val="000000"/>
                <w:szCs w:val="21"/>
              </w:rPr>
              <w:t>—22</w:t>
            </w:r>
            <w:r>
              <w:rPr>
                <w:rFonts w:hint="eastAsia" w:ascii="宋体" w:hAnsi="宋体" w:cs="仿宋"/>
                <w:color w:val="000000"/>
                <w:szCs w:val="21"/>
              </w:rPr>
              <w:t>中学中学部，候角屯</w:t>
            </w:r>
            <w:r>
              <w:rPr>
                <w:rFonts w:ascii="宋体" w:hAnsi="宋体" w:cs="仿宋"/>
                <w:color w:val="000000"/>
                <w:szCs w:val="21"/>
              </w:rPr>
              <w:t>—22</w:t>
            </w:r>
            <w:r>
              <w:rPr>
                <w:rFonts w:hint="eastAsia" w:ascii="宋体" w:hAnsi="宋体" w:cs="仿宋"/>
                <w:color w:val="000000"/>
                <w:szCs w:val="21"/>
              </w:rPr>
              <w:t>中学中学部，靛池沟</w:t>
            </w:r>
            <w:r>
              <w:rPr>
                <w:rFonts w:ascii="宋体" w:hAnsi="宋体" w:cs="仿宋"/>
                <w:color w:val="000000"/>
                <w:szCs w:val="21"/>
              </w:rPr>
              <w:t>—22</w:t>
            </w:r>
            <w:r>
              <w:rPr>
                <w:rFonts w:hint="eastAsia" w:ascii="宋体" w:hAnsi="宋体" w:cs="仿宋"/>
                <w:color w:val="000000"/>
                <w:szCs w:val="21"/>
              </w:rPr>
              <w:t>中学中学部，罗家</w:t>
            </w:r>
            <w:r>
              <w:rPr>
                <w:rFonts w:ascii="宋体" w:hAnsi="宋体" w:cs="仿宋"/>
                <w:color w:val="000000"/>
                <w:szCs w:val="21"/>
              </w:rPr>
              <w:t>—22</w:t>
            </w:r>
            <w:r>
              <w:rPr>
                <w:rFonts w:hint="eastAsia" w:ascii="宋体" w:hAnsi="宋体" w:cs="仿宋"/>
                <w:color w:val="000000"/>
                <w:szCs w:val="21"/>
              </w:rPr>
              <w:t>中学中学部，甘泉</w:t>
            </w:r>
            <w:r>
              <w:rPr>
                <w:rFonts w:ascii="宋体" w:hAnsi="宋体" w:cs="仿宋"/>
                <w:color w:val="000000"/>
                <w:szCs w:val="21"/>
              </w:rPr>
              <w:t>—22</w:t>
            </w:r>
            <w:r>
              <w:rPr>
                <w:rFonts w:hint="eastAsia" w:ascii="宋体" w:hAnsi="宋体" w:cs="仿宋"/>
                <w:color w:val="000000"/>
                <w:szCs w:val="21"/>
              </w:rPr>
              <w:t>中小学部</w:t>
            </w:r>
          </w:p>
          <w:p w14:paraId="1470CC5B">
            <w:pPr>
              <w:adjustRightInd w:val="0"/>
              <w:snapToGrid w:val="0"/>
              <w:ind w:firstLine="422" w:firstLineChars="200"/>
              <w:contextualSpacing/>
              <w:rPr>
                <w:rFonts w:ascii="宋体" w:cs="仿宋"/>
                <w:b/>
                <w:color w:val="000000"/>
                <w:szCs w:val="21"/>
              </w:rPr>
            </w:pPr>
            <w:r>
              <w:rPr>
                <w:rFonts w:ascii="宋体" w:hAnsi="宋体" w:cs="仿宋"/>
                <w:b/>
                <w:color w:val="000000"/>
                <w:szCs w:val="21"/>
              </w:rPr>
              <w:t>2</w:t>
            </w:r>
            <w:r>
              <w:rPr>
                <w:rFonts w:hint="eastAsia" w:ascii="宋体" w:hAnsi="宋体" w:cs="仿宋"/>
                <w:b/>
                <w:color w:val="000000"/>
                <w:szCs w:val="21"/>
              </w:rPr>
              <w:t>、乘车费用及政府补贴标准</w:t>
            </w:r>
          </w:p>
          <w:p w14:paraId="0A9A0E3A">
            <w:pPr>
              <w:adjustRightInd w:val="0"/>
              <w:snapToGrid w:val="0"/>
              <w:ind w:firstLine="420" w:firstLineChars="200"/>
              <w:contextualSpacing/>
              <w:rPr>
                <w:rFonts w:ascii="宋体" w:cs="仿宋"/>
                <w:color w:val="000000"/>
                <w:szCs w:val="21"/>
              </w:rPr>
            </w:pPr>
            <w:r>
              <w:rPr>
                <w:rFonts w:hint="eastAsia" w:ascii="宋体" w:hAnsi="宋体" w:cs="仿宋"/>
                <w:color w:val="000000"/>
                <w:szCs w:val="21"/>
              </w:rPr>
              <w:t>校车运营服务期间，每名乘车学生根据距离远近，交纳一定金额的乘车费用。同时，每年校车政府补贴款将纳入财政预算，由区、镇（街）两级政府单独支付校车公司适当的政府补贴。区校车政府补贴标准根据中标方实际运营情况适当进行调整，以保证校车安全稳定运营。</w:t>
            </w:r>
          </w:p>
          <w:p w14:paraId="26C59957">
            <w:pPr>
              <w:adjustRightInd w:val="0"/>
              <w:snapToGrid w:val="0"/>
              <w:ind w:left="34" w:leftChars="16" w:firstLine="443" w:firstLineChars="210"/>
              <w:contextualSpacing/>
              <w:rPr>
                <w:rFonts w:ascii="宋体" w:cs="仿宋"/>
                <w:color w:val="000000"/>
                <w:szCs w:val="21"/>
              </w:rPr>
            </w:pPr>
            <w:r>
              <w:rPr>
                <w:rFonts w:hint="eastAsia" w:ascii="宋体" w:hAnsi="宋体" w:cs="仿宋"/>
                <w:b/>
                <w:bCs/>
                <w:color w:val="000000"/>
                <w:szCs w:val="21"/>
              </w:rPr>
              <w:t>学生收费标准（拟定）：</w:t>
            </w:r>
            <w:r>
              <w:rPr>
                <w:rFonts w:ascii="宋体" w:hAnsi="宋体" w:cs="仿宋"/>
                <w:b/>
                <w:bCs/>
                <w:color w:val="000000"/>
                <w:szCs w:val="21"/>
              </w:rPr>
              <w:t xml:space="preserve"> </w:t>
            </w:r>
            <w:r>
              <w:rPr>
                <w:rFonts w:ascii="宋体" w:hAnsi="宋体" w:cs="仿宋"/>
                <w:bCs/>
                <w:color w:val="000000"/>
                <w:szCs w:val="21"/>
              </w:rPr>
              <w:t>5</w:t>
            </w:r>
            <w:r>
              <w:rPr>
                <w:rFonts w:hint="eastAsia" w:ascii="宋体" w:hAnsi="宋体" w:cs="仿宋"/>
                <w:color w:val="000000"/>
                <w:szCs w:val="21"/>
              </w:rPr>
              <w:t>元（</w:t>
            </w:r>
            <w:r>
              <w:rPr>
                <w:rFonts w:ascii="宋体" w:hAnsi="宋体" w:cs="仿宋"/>
                <w:color w:val="000000"/>
                <w:szCs w:val="21"/>
              </w:rPr>
              <w:t>3</w:t>
            </w:r>
            <w:r>
              <w:rPr>
                <w:rFonts w:hint="eastAsia" w:ascii="宋体" w:hAnsi="宋体" w:cs="仿宋"/>
                <w:color w:val="000000"/>
                <w:szCs w:val="21"/>
              </w:rPr>
              <w:t>公里），</w:t>
            </w:r>
            <w:r>
              <w:rPr>
                <w:rFonts w:ascii="宋体" w:hAnsi="宋体" w:cs="仿宋"/>
                <w:color w:val="000000"/>
                <w:szCs w:val="21"/>
              </w:rPr>
              <w:t>5</w:t>
            </w:r>
            <w:r>
              <w:rPr>
                <w:rFonts w:hint="eastAsia" w:ascii="宋体" w:hAnsi="宋体" w:cs="仿宋"/>
                <w:color w:val="000000"/>
                <w:szCs w:val="21"/>
              </w:rPr>
              <w:t>元（</w:t>
            </w:r>
            <w:r>
              <w:rPr>
                <w:rFonts w:ascii="宋体" w:hAnsi="宋体" w:cs="仿宋"/>
                <w:color w:val="000000"/>
                <w:szCs w:val="21"/>
              </w:rPr>
              <w:t>3-5</w:t>
            </w:r>
            <w:r>
              <w:rPr>
                <w:rFonts w:hint="eastAsia" w:ascii="宋体" w:hAnsi="宋体" w:cs="仿宋"/>
                <w:color w:val="000000"/>
                <w:szCs w:val="21"/>
              </w:rPr>
              <w:t>公里</w:t>
            </w:r>
            <w:r>
              <w:rPr>
                <w:rFonts w:ascii="宋体" w:hAnsi="宋体" w:cs="仿宋"/>
                <w:color w:val="000000"/>
                <w:szCs w:val="21"/>
              </w:rPr>
              <w:t xml:space="preserve"> </w:t>
            </w:r>
            <w:r>
              <w:rPr>
                <w:rFonts w:hint="eastAsia" w:ascii="宋体" w:hAnsi="宋体" w:cs="仿宋"/>
                <w:color w:val="000000"/>
                <w:szCs w:val="21"/>
              </w:rPr>
              <w:t>），</w:t>
            </w:r>
            <w:r>
              <w:rPr>
                <w:rFonts w:ascii="宋体" w:hAnsi="宋体" w:cs="仿宋"/>
                <w:color w:val="000000"/>
                <w:szCs w:val="21"/>
              </w:rPr>
              <w:t>6</w:t>
            </w:r>
            <w:r>
              <w:rPr>
                <w:rFonts w:hint="eastAsia" w:ascii="宋体" w:hAnsi="宋体" w:cs="仿宋"/>
                <w:color w:val="000000"/>
                <w:szCs w:val="21"/>
              </w:rPr>
              <w:t>元（</w:t>
            </w:r>
            <w:r>
              <w:rPr>
                <w:rFonts w:ascii="宋体" w:hAnsi="宋体" w:cs="仿宋"/>
                <w:color w:val="000000"/>
                <w:szCs w:val="21"/>
              </w:rPr>
              <w:t>5-8</w:t>
            </w:r>
            <w:r>
              <w:rPr>
                <w:rFonts w:hint="eastAsia" w:ascii="宋体" w:hAnsi="宋体" w:cs="仿宋"/>
                <w:color w:val="000000"/>
                <w:szCs w:val="21"/>
              </w:rPr>
              <w:t>公里</w:t>
            </w:r>
            <w:r>
              <w:rPr>
                <w:rFonts w:ascii="宋体" w:hAnsi="宋体" w:cs="仿宋"/>
                <w:color w:val="000000"/>
                <w:szCs w:val="21"/>
              </w:rPr>
              <w:t xml:space="preserve"> </w:t>
            </w:r>
            <w:r>
              <w:rPr>
                <w:rFonts w:hint="eastAsia" w:ascii="宋体" w:hAnsi="宋体" w:cs="仿宋"/>
                <w:color w:val="000000"/>
                <w:szCs w:val="21"/>
              </w:rPr>
              <w:t>），</w:t>
            </w:r>
            <w:r>
              <w:rPr>
                <w:rFonts w:ascii="宋体" w:hAnsi="宋体" w:cs="仿宋"/>
                <w:color w:val="000000"/>
                <w:szCs w:val="21"/>
              </w:rPr>
              <w:t>7</w:t>
            </w:r>
            <w:r>
              <w:rPr>
                <w:rFonts w:hint="eastAsia" w:ascii="宋体" w:hAnsi="宋体" w:cs="仿宋"/>
                <w:color w:val="000000"/>
                <w:szCs w:val="21"/>
              </w:rPr>
              <w:t>元（</w:t>
            </w:r>
            <w:r>
              <w:rPr>
                <w:rFonts w:ascii="宋体" w:hAnsi="宋体" w:cs="仿宋"/>
                <w:color w:val="000000"/>
                <w:szCs w:val="21"/>
              </w:rPr>
              <w:t>8-10</w:t>
            </w:r>
            <w:r>
              <w:rPr>
                <w:rFonts w:hint="eastAsia" w:ascii="宋体" w:hAnsi="宋体" w:cs="仿宋"/>
                <w:color w:val="000000"/>
                <w:szCs w:val="21"/>
              </w:rPr>
              <w:t>公里</w:t>
            </w:r>
            <w:r>
              <w:rPr>
                <w:rFonts w:ascii="宋体" w:hAnsi="宋体" w:cs="仿宋"/>
                <w:color w:val="000000"/>
                <w:szCs w:val="21"/>
              </w:rPr>
              <w:t xml:space="preserve"> </w:t>
            </w:r>
            <w:r>
              <w:rPr>
                <w:rFonts w:hint="eastAsia" w:ascii="宋体" w:hAnsi="宋体" w:cs="仿宋"/>
                <w:color w:val="000000"/>
                <w:szCs w:val="21"/>
              </w:rPr>
              <w:t>），</w:t>
            </w:r>
            <w:r>
              <w:rPr>
                <w:rFonts w:ascii="宋体" w:hAnsi="宋体" w:cs="仿宋"/>
                <w:color w:val="000000"/>
                <w:szCs w:val="21"/>
              </w:rPr>
              <w:t>8</w:t>
            </w:r>
            <w:r>
              <w:rPr>
                <w:rFonts w:hint="eastAsia" w:ascii="宋体" w:hAnsi="宋体" w:cs="仿宋"/>
                <w:color w:val="000000"/>
                <w:szCs w:val="21"/>
              </w:rPr>
              <w:t>元（</w:t>
            </w:r>
            <w:r>
              <w:rPr>
                <w:rFonts w:ascii="宋体" w:hAnsi="宋体" w:cs="仿宋"/>
                <w:color w:val="000000"/>
                <w:szCs w:val="21"/>
              </w:rPr>
              <w:t>10</w:t>
            </w:r>
            <w:r>
              <w:rPr>
                <w:rFonts w:hint="eastAsia" w:ascii="宋体" w:hAnsi="宋体" w:cs="仿宋"/>
                <w:color w:val="000000"/>
                <w:szCs w:val="21"/>
              </w:rPr>
              <w:t>公里以上</w:t>
            </w:r>
            <w:r>
              <w:rPr>
                <w:rFonts w:ascii="宋体" w:hAnsi="宋体" w:cs="仿宋"/>
                <w:color w:val="000000"/>
                <w:szCs w:val="21"/>
              </w:rPr>
              <w:t xml:space="preserve"> </w:t>
            </w:r>
            <w:r>
              <w:rPr>
                <w:rFonts w:hint="eastAsia" w:ascii="宋体" w:hAnsi="宋体" w:cs="仿宋"/>
                <w:color w:val="000000"/>
                <w:szCs w:val="21"/>
              </w:rPr>
              <w:t>），公司在报价明细表中所报相关对应单价不大于此标准。且因乘车人数天数均为估值，公司考虑全部风险因素进行报价，最后以实际人数和天数收取此部分车费。</w:t>
            </w:r>
          </w:p>
          <w:p w14:paraId="296F3CCF">
            <w:pPr>
              <w:adjustRightInd w:val="0"/>
              <w:snapToGrid w:val="0"/>
              <w:ind w:firstLine="420" w:firstLineChars="200"/>
              <w:contextualSpacing/>
              <w:rPr>
                <w:rFonts w:ascii="宋体" w:cs="仿宋"/>
                <w:color w:val="000000"/>
                <w:szCs w:val="21"/>
              </w:rPr>
            </w:pPr>
          </w:p>
          <w:p w14:paraId="3B19089C">
            <w:pPr>
              <w:adjustRightInd w:val="0"/>
              <w:snapToGrid w:val="0"/>
              <w:ind w:firstLine="472" w:firstLineChars="224"/>
              <w:rPr>
                <w:rFonts w:ascii="宋体" w:cs="仿宋"/>
                <w:color w:val="000000"/>
                <w:szCs w:val="21"/>
              </w:rPr>
            </w:pPr>
            <w:r>
              <w:rPr>
                <w:rFonts w:hint="eastAsia" w:ascii="宋体" w:hAnsi="宋体" w:cs="仿宋"/>
                <w:b/>
                <w:bCs/>
                <w:color w:val="000000"/>
                <w:szCs w:val="21"/>
              </w:rPr>
              <w:t>政府补贴标准（拟定）：</w:t>
            </w:r>
            <w:r>
              <w:rPr>
                <w:rFonts w:hint="eastAsia" w:ascii="宋体" w:hAnsi="宋体" w:cs="仿宋"/>
                <w:color w:val="000000"/>
                <w:szCs w:val="21"/>
              </w:rPr>
              <w:t>政府补贴标准均为每车每趟每座补贴</w:t>
            </w:r>
            <w:r>
              <w:rPr>
                <w:rFonts w:ascii="宋体" w:hAnsi="宋体" w:cs="仿宋"/>
                <w:color w:val="000000"/>
                <w:szCs w:val="21"/>
              </w:rPr>
              <w:t>2.03</w:t>
            </w:r>
            <w:r>
              <w:rPr>
                <w:rFonts w:hint="eastAsia" w:ascii="宋体" w:hAnsi="宋体" w:cs="仿宋"/>
                <w:color w:val="000000"/>
                <w:szCs w:val="21"/>
              </w:rPr>
              <w:t>元，总概算约</w:t>
            </w:r>
            <w:r>
              <w:rPr>
                <w:rFonts w:ascii="宋体" w:hAnsi="宋体" w:cs="仿宋"/>
                <w:color w:val="000000"/>
                <w:szCs w:val="21"/>
              </w:rPr>
              <w:t>887,110</w:t>
            </w:r>
            <w:r>
              <w:rPr>
                <w:rFonts w:hint="eastAsia" w:ascii="宋体" w:hAnsi="宋体" w:cs="仿宋"/>
                <w:color w:val="000000"/>
                <w:szCs w:val="21"/>
              </w:rPr>
              <w:t>元，为最高补贴款，公司根据运营方案合理报价，中标之后，根据实际运营情况结算政府补贴款，总价不超过最高补贴款。</w:t>
            </w:r>
          </w:p>
        </w:tc>
        <w:tc>
          <w:tcPr>
            <w:tcW w:w="425" w:type="dxa"/>
            <w:vAlign w:val="center"/>
          </w:tcPr>
          <w:p w14:paraId="6E27B9B4">
            <w:pPr>
              <w:tabs>
                <w:tab w:val="left" w:pos="-75"/>
              </w:tabs>
              <w:snapToGrid w:val="0"/>
              <w:ind w:right="-57" w:rightChars="-27"/>
              <w:contextualSpacing/>
              <w:jc w:val="center"/>
              <w:rPr>
                <w:rFonts w:ascii="宋体" w:cs="仿宋_GB2312"/>
                <w:kern w:val="0"/>
                <w:szCs w:val="21"/>
              </w:rPr>
            </w:pPr>
            <w:r>
              <w:rPr>
                <w:rFonts w:hint="eastAsia" w:ascii="宋体" w:hAnsi="宋体" w:cs="仿宋_GB2312"/>
                <w:kern w:val="0"/>
                <w:szCs w:val="21"/>
              </w:rPr>
              <w:t>无偏离</w:t>
            </w:r>
          </w:p>
        </w:tc>
        <w:tc>
          <w:tcPr>
            <w:tcW w:w="709" w:type="dxa"/>
            <w:vAlign w:val="center"/>
          </w:tcPr>
          <w:p w14:paraId="13D4A8F9">
            <w:pPr>
              <w:tabs>
                <w:tab w:val="left" w:pos="-75"/>
              </w:tabs>
              <w:snapToGrid w:val="0"/>
              <w:ind w:right="-57" w:rightChars="-27"/>
              <w:contextualSpacing/>
              <w:jc w:val="center"/>
              <w:rPr>
                <w:rFonts w:ascii="宋体" w:cs="仿宋_GB2312"/>
                <w:kern w:val="0"/>
                <w:szCs w:val="21"/>
              </w:rPr>
            </w:pPr>
            <w:r>
              <w:rPr>
                <w:rFonts w:hint="eastAsia" w:ascii="宋体" w:hAnsi="宋体" w:cs="仿宋_GB2312"/>
                <w:kern w:val="0"/>
                <w:szCs w:val="21"/>
              </w:rPr>
              <w:t>无</w:t>
            </w:r>
          </w:p>
        </w:tc>
        <w:tc>
          <w:tcPr>
            <w:tcW w:w="1418" w:type="dxa"/>
            <w:vAlign w:val="center"/>
          </w:tcPr>
          <w:p w14:paraId="58FB6160">
            <w:pPr>
              <w:tabs>
                <w:tab w:val="left" w:pos="-75"/>
              </w:tabs>
              <w:snapToGrid w:val="0"/>
              <w:ind w:right="-57" w:rightChars="-27"/>
              <w:contextualSpacing/>
              <w:jc w:val="center"/>
              <w:rPr>
                <w:rFonts w:ascii="宋体" w:cs="仿宋_GB2312"/>
                <w:kern w:val="0"/>
                <w:szCs w:val="21"/>
              </w:rPr>
            </w:pPr>
            <w:r>
              <w:rPr>
                <w:rFonts w:ascii="宋体" w:hAnsi="宋体" w:cs="仿宋_GB2312"/>
                <w:kern w:val="0"/>
                <w:szCs w:val="21"/>
              </w:rPr>
              <w:t>227</w:t>
            </w:r>
            <w:r>
              <w:rPr>
                <w:rFonts w:hint="eastAsia" w:ascii="宋体" w:hAnsi="宋体" w:cs="仿宋_GB2312"/>
                <w:kern w:val="0"/>
                <w:szCs w:val="21"/>
              </w:rPr>
              <w:t>页</w:t>
            </w:r>
            <w:r>
              <w:rPr>
                <w:rFonts w:ascii="宋体" w:hAnsi="宋体" w:cs="仿宋_GB2312"/>
                <w:kern w:val="0"/>
                <w:szCs w:val="21"/>
              </w:rPr>
              <w:t>——358</w:t>
            </w:r>
            <w:r>
              <w:rPr>
                <w:rFonts w:hint="eastAsia" w:ascii="宋体" w:hAnsi="宋体" w:cs="仿宋_GB2312"/>
                <w:kern w:val="0"/>
                <w:szCs w:val="21"/>
              </w:rPr>
              <w:t>页运营方案</w:t>
            </w:r>
          </w:p>
          <w:p w14:paraId="78FC4C6D">
            <w:pPr>
              <w:tabs>
                <w:tab w:val="left" w:pos="-75"/>
              </w:tabs>
              <w:snapToGrid w:val="0"/>
              <w:ind w:right="-57" w:rightChars="-27"/>
              <w:contextualSpacing/>
              <w:jc w:val="center"/>
              <w:rPr>
                <w:rFonts w:ascii="宋体" w:cs="仿宋_GB2312"/>
                <w:kern w:val="0"/>
                <w:szCs w:val="21"/>
              </w:rPr>
            </w:pPr>
            <w:r>
              <w:rPr>
                <w:rFonts w:hint="eastAsia" w:ascii="宋体" w:hAnsi="宋体" w:cs="仿宋_GB2312"/>
                <w:kern w:val="0"/>
                <w:szCs w:val="21"/>
              </w:rPr>
              <w:t>第</w:t>
            </w:r>
            <w:r>
              <w:rPr>
                <w:rFonts w:ascii="宋体" w:hAnsi="宋体" w:cs="仿宋_GB2312"/>
                <w:kern w:val="0"/>
                <w:szCs w:val="21"/>
              </w:rPr>
              <w:t>51</w:t>
            </w:r>
            <w:r>
              <w:rPr>
                <w:rFonts w:hint="eastAsia" w:ascii="宋体" w:hAnsi="宋体" w:cs="仿宋_GB2312"/>
                <w:kern w:val="0"/>
                <w:szCs w:val="21"/>
              </w:rPr>
              <w:t>页服务价格明细表</w:t>
            </w:r>
          </w:p>
        </w:tc>
      </w:tr>
      <w:tr w14:paraId="295A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534" w:type="dxa"/>
            <w:vMerge w:val="restart"/>
            <w:vAlign w:val="center"/>
          </w:tcPr>
          <w:p w14:paraId="5072C9BC">
            <w:pPr>
              <w:adjustRightInd w:val="0"/>
              <w:snapToGrid w:val="0"/>
              <w:contextualSpacing/>
              <w:rPr>
                <w:rFonts w:ascii="宋体" w:cs="黑体"/>
                <w:b/>
                <w:szCs w:val="21"/>
              </w:rPr>
            </w:pPr>
            <w:r>
              <w:rPr>
                <w:rFonts w:hint="eastAsia" w:ascii="宋体" w:hAnsi="宋体" w:cs="黑体"/>
                <w:b/>
                <w:szCs w:val="21"/>
              </w:rPr>
              <w:t>二、供应商要求</w:t>
            </w:r>
          </w:p>
          <w:p w14:paraId="441D47BD">
            <w:pPr>
              <w:adjustRightInd w:val="0"/>
              <w:snapToGrid w:val="0"/>
              <w:ind w:left="142" w:firstLine="420" w:firstLineChars="200"/>
              <w:contextualSpacing/>
              <w:rPr>
                <w:rFonts w:ascii="仿宋" w:eastAsia="仿宋" w:cs="仿宋_GB2312"/>
                <w:szCs w:val="21"/>
              </w:rPr>
            </w:pPr>
          </w:p>
        </w:tc>
        <w:tc>
          <w:tcPr>
            <w:tcW w:w="2693" w:type="dxa"/>
            <w:vAlign w:val="center"/>
          </w:tcPr>
          <w:p w14:paraId="0DF3D6EB">
            <w:pPr>
              <w:adjustRightInd w:val="0"/>
              <w:snapToGrid w:val="0"/>
              <w:ind w:firstLine="420" w:firstLineChars="200"/>
              <w:contextualSpacing/>
              <w:rPr>
                <w:rFonts w:ascii="仿宋" w:eastAsia="仿宋" w:cs="仿宋"/>
                <w:color w:val="000000"/>
                <w:szCs w:val="21"/>
              </w:rPr>
            </w:pPr>
            <w:r>
              <w:rPr>
                <w:rFonts w:ascii="仿宋" w:hAnsi="仿宋" w:cs="仿宋"/>
                <w:color w:val="000000"/>
                <w:szCs w:val="21"/>
              </w:rPr>
              <w:t>1</w:t>
            </w:r>
            <w:r>
              <w:rPr>
                <w:rFonts w:hint="eastAsia" w:ascii="仿宋" w:hAnsi="仿宋" w:cs="仿宋"/>
                <w:color w:val="000000"/>
                <w:szCs w:val="21"/>
              </w:rPr>
              <w:t>、具有</w:t>
            </w:r>
            <w:r>
              <w:rPr>
                <w:rFonts w:hint="eastAsia" w:ascii="仿宋" w:hAnsi="仿宋" w:cs="仿宋"/>
                <w:color w:val="000000"/>
                <w:szCs w:val="21"/>
                <w:lang w:eastAsia="zh-CN"/>
              </w:rPr>
              <w:t>国</w:t>
            </w:r>
            <w:r>
              <w:rPr>
                <w:rFonts w:hint="eastAsia" w:ascii="仿宋" w:hAnsi="仿宋" w:cs="仿宋"/>
                <w:color w:val="000000"/>
                <w:szCs w:val="21"/>
              </w:rPr>
              <w:t>内注册独立法人资格的道路旅客运输经营企业或城市公共交通企业并具有校车运营资质或校车使用许可的公司；</w:t>
            </w:r>
          </w:p>
        </w:tc>
        <w:tc>
          <w:tcPr>
            <w:tcW w:w="2693" w:type="dxa"/>
            <w:vAlign w:val="center"/>
          </w:tcPr>
          <w:p w14:paraId="64E7D341">
            <w:pPr>
              <w:adjustRightInd w:val="0"/>
              <w:snapToGrid w:val="0"/>
              <w:ind w:firstLine="420" w:firstLineChars="200"/>
              <w:contextualSpacing/>
              <w:rPr>
                <w:rFonts w:ascii="仿宋" w:eastAsia="仿宋" w:cs="仿宋"/>
                <w:color w:val="000000"/>
                <w:szCs w:val="21"/>
              </w:rPr>
            </w:pPr>
            <w:r>
              <w:rPr>
                <w:rFonts w:ascii="仿宋" w:hAnsi="仿宋" w:cs="仿宋"/>
                <w:szCs w:val="21"/>
              </w:rPr>
              <w:t>1</w:t>
            </w:r>
            <w:r>
              <w:rPr>
                <w:rFonts w:hint="eastAsia" w:ascii="仿宋" w:hAnsi="仿宋" w:cs="仿宋"/>
                <w:szCs w:val="21"/>
              </w:rPr>
              <w:t>、本公司是具有</w:t>
            </w:r>
            <w:r>
              <w:rPr>
                <w:rFonts w:hint="eastAsia" w:ascii="仿宋" w:hAnsi="仿宋" w:cs="仿宋"/>
                <w:color w:val="000000"/>
                <w:szCs w:val="21"/>
                <w:lang w:eastAsia="zh-CN"/>
              </w:rPr>
              <w:t>国</w:t>
            </w:r>
            <w:r>
              <w:rPr>
                <w:rFonts w:hint="eastAsia" w:ascii="仿宋" w:hAnsi="仿宋" w:cs="仿宋"/>
                <w:color w:val="000000"/>
                <w:szCs w:val="21"/>
              </w:rPr>
              <w:t>内注册独立法人资格的道路旅客运输经营企业并具有校车运营资质或校车使用许可的公司；</w:t>
            </w:r>
          </w:p>
        </w:tc>
        <w:tc>
          <w:tcPr>
            <w:tcW w:w="425" w:type="dxa"/>
            <w:vAlign w:val="center"/>
          </w:tcPr>
          <w:p w14:paraId="1894C18D">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Align w:val="center"/>
          </w:tcPr>
          <w:p w14:paraId="203C4DA1">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Align w:val="center"/>
          </w:tcPr>
          <w:p w14:paraId="68548C36">
            <w:pPr>
              <w:tabs>
                <w:tab w:val="left" w:pos="-75"/>
              </w:tabs>
              <w:snapToGrid w:val="0"/>
              <w:ind w:right="-57" w:rightChars="-27"/>
              <w:contextualSpacing/>
              <w:rPr>
                <w:rFonts w:ascii="仿宋" w:eastAsia="仿宋" w:cs="仿宋_GB2312"/>
                <w:kern w:val="0"/>
                <w:sz w:val="18"/>
                <w:szCs w:val="18"/>
              </w:rPr>
            </w:pPr>
            <w:r>
              <w:rPr>
                <w:rFonts w:hint="eastAsia" w:ascii="仿宋" w:hAnsi="仿宋" w:cs="仿宋_GB2312"/>
                <w:kern w:val="0"/>
                <w:sz w:val="18"/>
                <w:szCs w:val="18"/>
              </w:rPr>
              <w:t>营业执照经营范围见第</w:t>
            </w:r>
            <w:r>
              <w:rPr>
                <w:rFonts w:ascii="仿宋" w:hAnsi="仿宋" w:cs="仿宋_GB2312"/>
                <w:kern w:val="0"/>
                <w:sz w:val="18"/>
                <w:szCs w:val="18"/>
              </w:rPr>
              <w:t>1</w:t>
            </w:r>
            <w:r>
              <w:rPr>
                <w:rFonts w:hint="eastAsia" w:ascii="仿宋" w:hAnsi="仿宋" w:cs="仿宋_GB2312"/>
                <w:kern w:val="0"/>
                <w:sz w:val="18"/>
                <w:szCs w:val="18"/>
              </w:rPr>
              <w:t>页，</w:t>
            </w:r>
          </w:p>
          <w:p w14:paraId="639C964A">
            <w:pPr>
              <w:tabs>
                <w:tab w:val="left" w:pos="-75"/>
              </w:tabs>
              <w:snapToGrid w:val="0"/>
              <w:ind w:right="-57" w:rightChars="-27"/>
              <w:contextualSpacing/>
              <w:rPr>
                <w:rFonts w:ascii="仿宋" w:eastAsia="仿宋" w:cs="仿宋_GB2312"/>
                <w:kern w:val="0"/>
                <w:sz w:val="18"/>
                <w:szCs w:val="18"/>
              </w:rPr>
            </w:pPr>
            <w:r>
              <w:rPr>
                <w:rFonts w:hint="eastAsia" w:ascii="仿宋" w:hAnsi="仿宋" w:cs="仿宋_GB2312"/>
                <w:kern w:val="0"/>
                <w:sz w:val="18"/>
                <w:szCs w:val="18"/>
              </w:rPr>
              <w:t>校车使用许可见</w:t>
            </w:r>
            <w:r>
              <w:rPr>
                <w:rFonts w:ascii="仿宋" w:hAnsi="仿宋" w:cs="仿宋_GB2312"/>
                <w:kern w:val="0"/>
                <w:sz w:val="18"/>
                <w:szCs w:val="18"/>
              </w:rPr>
              <w:t>32</w:t>
            </w:r>
            <w:r>
              <w:rPr>
                <w:rFonts w:hint="eastAsia" w:ascii="仿宋" w:hAnsi="仿宋" w:cs="仿宋_GB2312"/>
                <w:kern w:val="0"/>
                <w:sz w:val="18"/>
                <w:szCs w:val="18"/>
              </w:rPr>
              <w:t>页至</w:t>
            </w:r>
            <w:r>
              <w:rPr>
                <w:rFonts w:ascii="仿宋" w:hAnsi="仿宋" w:cs="仿宋_GB2312"/>
                <w:kern w:val="0"/>
                <w:sz w:val="18"/>
                <w:szCs w:val="18"/>
              </w:rPr>
              <w:t>43</w:t>
            </w:r>
            <w:r>
              <w:rPr>
                <w:rFonts w:hint="eastAsia" w:ascii="仿宋" w:hAnsi="仿宋" w:cs="仿宋_GB2312"/>
                <w:kern w:val="0"/>
                <w:sz w:val="18"/>
                <w:szCs w:val="18"/>
              </w:rPr>
              <w:t>页</w:t>
            </w:r>
          </w:p>
        </w:tc>
      </w:tr>
      <w:tr w14:paraId="75222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534" w:type="dxa"/>
            <w:vMerge w:val="continue"/>
            <w:vAlign w:val="center"/>
          </w:tcPr>
          <w:p w14:paraId="71A482A4">
            <w:pPr>
              <w:adjustRightInd w:val="0"/>
              <w:snapToGrid w:val="0"/>
              <w:contextualSpacing/>
              <w:rPr>
                <w:rFonts w:ascii="宋体" w:cs="黑体"/>
                <w:b/>
                <w:szCs w:val="21"/>
              </w:rPr>
            </w:pPr>
          </w:p>
        </w:tc>
        <w:tc>
          <w:tcPr>
            <w:tcW w:w="2693" w:type="dxa"/>
            <w:vAlign w:val="center"/>
          </w:tcPr>
          <w:p w14:paraId="0CD3353A">
            <w:pPr>
              <w:adjustRightInd w:val="0"/>
              <w:snapToGrid w:val="0"/>
              <w:ind w:firstLine="420" w:firstLineChars="200"/>
              <w:rPr>
                <w:rFonts w:ascii="仿宋" w:eastAsia="仿宋" w:cs="仿宋"/>
                <w:color w:val="000000"/>
                <w:szCs w:val="21"/>
              </w:rPr>
            </w:pPr>
            <w:r>
              <w:rPr>
                <w:rFonts w:ascii="仿宋" w:hAnsi="仿宋" w:cs="仿宋"/>
                <w:color w:val="000000"/>
                <w:szCs w:val="21"/>
              </w:rPr>
              <w:t>2</w:t>
            </w:r>
            <w:r>
              <w:rPr>
                <w:rFonts w:hint="eastAsia" w:ascii="仿宋" w:hAnsi="仿宋" w:cs="仿宋"/>
                <w:color w:val="000000"/>
                <w:szCs w:val="21"/>
              </w:rPr>
              <w:t>、运营校车必须全部是公司自有车辆，不允许存在承包、转包、抵押、他人购买、挂靠公司等现象；如无自有车辆证明，需自拟承诺书一份。</w:t>
            </w:r>
          </w:p>
        </w:tc>
        <w:tc>
          <w:tcPr>
            <w:tcW w:w="2693" w:type="dxa"/>
            <w:vAlign w:val="center"/>
          </w:tcPr>
          <w:p w14:paraId="293406D9">
            <w:pPr>
              <w:adjustRightInd w:val="0"/>
              <w:snapToGrid w:val="0"/>
              <w:ind w:firstLine="420" w:firstLineChars="200"/>
              <w:contextualSpacing/>
              <w:rPr>
                <w:rFonts w:ascii="仿宋" w:eastAsia="仿宋" w:cs="仿宋"/>
                <w:color w:val="000000"/>
                <w:szCs w:val="21"/>
              </w:rPr>
            </w:pPr>
            <w:r>
              <w:rPr>
                <w:rFonts w:ascii="仿宋" w:hAnsi="仿宋" w:cs="仿宋"/>
                <w:color w:val="000000"/>
                <w:szCs w:val="21"/>
              </w:rPr>
              <w:t>2</w:t>
            </w:r>
            <w:r>
              <w:rPr>
                <w:rFonts w:hint="eastAsia" w:ascii="仿宋" w:hAnsi="仿宋" w:cs="仿宋"/>
                <w:color w:val="000000"/>
                <w:szCs w:val="21"/>
              </w:rPr>
              <w:t>、运营校车全部是公司自有车辆，不存在承包、转包、抵押、他人购买、挂靠公司等现象；</w:t>
            </w:r>
          </w:p>
        </w:tc>
        <w:tc>
          <w:tcPr>
            <w:tcW w:w="425" w:type="dxa"/>
            <w:vAlign w:val="center"/>
          </w:tcPr>
          <w:p w14:paraId="48FEA1D8">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Align w:val="center"/>
          </w:tcPr>
          <w:p w14:paraId="33DC4A9A">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Align w:val="center"/>
          </w:tcPr>
          <w:p w14:paraId="7DA0EC59">
            <w:pPr>
              <w:tabs>
                <w:tab w:val="left" w:pos="-75"/>
              </w:tabs>
              <w:snapToGrid w:val="0"/>
              <w:ind w:right="-57" w:rightChars="-27"/>
              <w:contextualSpacing/>
              <w:rPr>
                <w:rFonts w:ascii="仿宋" w:eastAsia="仿宋" w:cs="仿宋_GB2312"/>
                <w:kern w:val="0"/>
                <w:sz w:val="18"/>
                <w:szCs w:val="18"/>
              </w:rPr>
            </w:pPr>
            <w:r>
              <w:rPr>
                <w:rFonts w:hint="eastAsia" w:ascii="仿宋" w:hAnsi="仿宋" w:cs="仿宋_GB2312"/>
                <w:kern w:val="0"/>
                <w:sz w:val="18"/>
                <w:szCs w:val="18"/>
              </w:rPr>
              <w:t>运营方案见</w:t>
            </w:r>
            <w:r>
              <w:rPr>
                <w:rFonts w:ascii="仿宋" w:hAnsi="仿宋" w:cs="仿宋_GB2312"/>
                <w:kern w:val="0"/>
                <w:sz w:val="18"/>
                <w:szCs w:val="18"/>
              </w:rPr>
              <w:t>227</w:t>
            </w:r>
            <w:r>
              <w:rPr>
                <w:rFonts w:hint="eastAsia" w:ascii="仿宋" w:hAnsi="仿宋" w:cs="仿宋_GB2312"/>
                <w:kern w:val="0"/>
                <w:sz w:val="18"/>
                <w:szCs w:val="18"/>
              </w:rPr>
              <w:t>页至</w:t>
            </w:r>
            <w:r>
              <w:rPr>
                <w:rFonts w:ascii="仿宋" w:hAnsi="仿宋" w:cs="仿宋_GB2312"/>
                <w:kern w:val="0"/>
                <w:sz w:val="18"/>
                <w:szCs w:val="18"/>
              </w:rPr>
              <w:t>358</w:t>
            </w:r>
            <w:r>
              <w:rPr>
                <w:rFonts w:hint="eastAsia" w:ascii="仿宋" w:hAnsi="仿宋" w:cs="仿宋_GB2312"/>
                <w:kern w:val="0"/>
                <w:sz w:val="18"/>
                <w:szCs w:val="18"/>
              </w:rPr>
              <w:t>页，</w:t>
            </w:r>
          </w:p>
          <w:p w14:paraId="6DBA2E14">
            <w:pPr>
              <w:tabs>
                <w:tab w:val="left" w:pos="-75"/>
              </w:tabs>
              <w:snapToGrid w:val="0"/>
              <w:ind w:right="-57" w:rightChars="-27"/>
              <w:contextualSpacing/>
              <w:rPr>
                <w:rFonts w:ascii="仿宋" w:eastAsia="仿宋" w:cs="仿宋_GB2312"/>
                <w:kern w:val="0"/>
                <w:sz w:val="18"/>
                <w:szCs w:val="18"/>
              </w:rPr>
            </w:pPr>
            <w:r>
              <w:rPr>
                <w:rFonts w:hint="eastAsia" w:ascii="仿宋" w:hAnsi="仿宋" w:cs="仿宋_GB2312"/>
                <w:kern w:val="0"/>
                <w:sz w:val="18"/>
                <w:szCs w:val="18"/>
              </w:rPr>
              <w:t>校车归属见</w:t>
            </w:r>
            <w:r>
              <w:rPr>
                <w:rFonts w:ascii="仿宋" w:hAnsi="仿宋" w:cs="仿宋_GB2312"/>
                <w:kern w:val="0"/>
                <w:sz w:val="18"/>
                <w:szCs w:val="18"/>
              </w:rPr>
              <w:t xml:space="preserve"> 237</w:t>
            </w:r>
            <w:r>
              <w:rPr>
                <w:rFonts w:hint="eastAsia" w:ascii="仿宋" w:hAnsi="仿宋" w:cs="仿宋_GB2312"/>
                <w:kern w:val="0"/>
                <w:sz w:val="18"/>
                <w:szCs w:val="18"/>
              </w:rPr>
              <w:t>页至</w:t>
            </w:r>
            <w:r>
              <w:rPr>
                <w:rFonts w:ascii="仿宋" w:hAnsi="仿宋" w:cs="仿宋_GB2312"/>
                <w:kern w:val="0"/>
                <w:sz w:val="18"/>
                <w:szCs w:val="18"/>
              </w:rPr>
              <w:t>260</w:t>
            </w:r>
            <w:r>
              <w:rPr>
                <w:rFonts w:hint="eastAsia" w:ascii="仿宋" w:hAnsi="仿宋" w:cs="仿宋_GB2312"/>
                <w:kern w:val="0"/>
                <w:sz w:val="18"/>
                <w:szCs w:val="18"/>
              </w:rPr>
              <w:t>页行车执照所有人</w:t>
            </w:r>
          </w:p>
        </w:tc>
      </w:tr>
      <w:tr w14:paraId="0B59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534" w:type="dxa"/>
            <w:vMerge w:val="continue"/>
            <w:vAlign w:val="center"/>
          </w:tcPr>
          <w:p w14:paraId="6BB8E13A">
            <w:pPr>
              <w:adjustRightInd w:val="0"/>
              <w:snapToGrid w:val="0"/>
              <w:contextualSpacing/>
              <w:rPr>
                <w:rFonts w:ascii="宋体" w:cs="黑体"/>
                <w:b/>
                <w:szCs w:val="21"/>
              </w:rPr>
            </w:pPr>
          </w:p>
        </w:tc>
        <w:tc>
          <w:tcPr>
            <w:tcW w:w="2693" w:type="dxa"/>
            <w:vAlign w:val="center"/>
          </w:tcPr>
          <w:p w14:paraId="3939CB6C">
            <w:pPr>
              <w:adjustRightInd w:val="0"/>
              <w:snapToGrid w:val="0"/>
              <w:ind w:left="76" w:firstLine="420" w:firstLineChars="200"/>
              <w:contextualSpacing/>
              <w:rPr>
                <w:rFonts w:ascii="仿宋" w:eastAsia="仿宋" w:cs="仿宋"/>
                <w:szCs w:val="21"/>
              </w:rPr>
            </w:pPr>
            <w:r>
              <w:rPr>
                <w:rFonts w:ascii="仿宋" w:hAnsi="仿宋" w:cs="仿宋"/>
                <w:szCs w:val="21"/>
              </w:rPr>
              <w:t>3</w:t>
            </w:r>
            <w:r>
              <w:rPr>
                <w:rFonts w:hint="eastAsia" w:ascii="仿宋" w:hAnsi="仿宋" w:cs="仿宋"/>
                <w:szCs w:val="21"/>
              </w:rPr>
              <w:t>、财务状况良好，投标公司及相关联公司近三年内没有不良信用记录及违法违规事件，不存在尚未解决的经济纠纷；</w:t>
            </w:r>
          </w:p>
        </w:tc>
        <w:tc>
          <w:tcPr>
            <w:tcW w:w="2693" w:type="dxa"/>
            <w:vAlign w:val="center"/>
          </w:tcPr>
          <w:p w14:paraId="5687D9E0">
            <w:pPr>
              <w:adjustRightInd w:val="0"/>
              <w:snapToGrid w:val="0"/>
              <w:ind w:firstLine="420" w:firstLineChars="200"/>
              <w:contextualSpacing/>
              <w:rPr>
                <w:rFonts w:ascii="仿宋" w:eastAsia="仿宋" w:cs="仿宋"/>
                <w:szCs w:val="21"/>
              </w:rPr>
            </w:pPr>
            <w:r>
              <w:rPr>
                <w:rFonts w:ascii="仿宋" w:hAnsi="仿宋" w:cs="仿宋"/>
                <w:szCs w:val="21"/>
              </w:rPr>
              <w:t>3</w:t>
            </w:r>
            <w:r>
              <w:rPr>
                <w:rFonts w:hint="eastAsia" w:ascii="仿宋" w:hAnsi="仿宋" w:cs="仿宋"/>
                <w:szCs w:val="21"/>
              </w:rPr>
              <w:t>、财务状况良好，投标公司及相关联公司近三年内没有不良信用记录及违法违规事件，不存在尚未解决的经济纠纷；</w:t>
            </w:r>
          </w:p>
        </w:tc>
        <w:tc>
          <w:tcPr>
            <w:tcW w:w="425" w:type="dxa"/>
            <w:vAlign w:val="center"/>
          </w:tcPr>
          <w:p w14:paraId="56546612">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Align w:val="center"/>
          </w:tcPr>
          <w:p w14:paraId="06DD88F8">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Align w:val="center"/>
          </w:tcPr>
          <w:p w14:paraId="0DEAE2B1">
            <w:pPr>
              <w:tabs>
                <w:tab w:val="left" w:pos="-75"/>
              </w:tabs>
              <w:snapToGrid w:val="0"/>
              <w:ind w:right="-57" w:rightChars="-27"/>
              <w:contextualSpacing/>
              <w:rPr>
                <w:rFonts w:ascii="仿宋" w:eastAsia="仿宋" w:cs="仿宋_GB2312"/>
                <w:kern w:val="0"/>
                <w:sz w:val="18"/>
                <w:szCs w:val="18"/>
              </w:rPr>
            </w:pPr>
            <w:r>
              <w:rPr>
                <w:rFonts w:hint="eastAsia" w:ascii="仿宋" w:hAnsi="仿宋" w:cs="仿宋_GB2312"/>
                <w:kern w:val="0"/>
                <w:sz w:val="18"/>
                <w:szCs w:val="18"/>
              </w:rPr>
              <w:t>财务状况见</w:t>
            </w:r>
            <w:r>
              <w:rPr>
                <w:rFonts w:ascii="仿宋" w:hAnsi="仿宋" w:cs="仿宋_GB2312"/>
                <w:kern w:val="0"/>
                <w:sz w:val="18"/>
                <w:szCs w:val="18"/>
              </w:rPr>
              <w:t>5</w:t>
            </w:r>
            <w:r>
              <w:rPr>
                <w:rFonts w:hint="eastAsia" w:ascii="仿宋" w:hAnsi="仿宋" w:cs="仿宋_GB2312"/>
                <w:kern w:val="0"/>
                <w:sz w:val="18"/>
                <w:szCs w:val="18"/>
              </w:rPr>
              <w:t>页至</w:t>
            </w:r>
            <w:r>
              <w:rPr>
                <w:rFonts w:ascii="仿宋" w:hAnsi="仿宋" w:cs="仿宋_GB2312"/>
                <w:kern w:val="0"/>
                <w:sz w:val="18"/>
                <w:szCs w:val="18"/>
              </w:rPr>
              <w:t>22</w:t>
            </w:r>
            <w:r>
              <w:rPr>
                <w:rFonts w:hint="eastAsia" w:ascii="仿宋" w:hAnsi="仿宋" w:cs="仿宋_GB2312"/>
                <w:kern w:val="0"/>
                <w:sz w:val="18"/>
                <w:szCs w:val="18"/>
              </w:rPr>
              <w:t>页审计报告，信用记录见</w:t>
            </w:r>
            <w:r>
              <w:rPr>
                <w:rFonts w:ascii="仿宋" w:hAnsi="仿宋" w:cs="仿宋_GB2312"/>
                <w:kern w:val="0"/>
                <w:sz w:val="18"/>
                <w:szCs w:val="18"/>
              </w:rPr>
              <w:t xml:space="preserve"> 45</w:t>
            </w:r>
            <w:r>
              <w:rPr>
                <w:rFonts w:hint="eastAsia" w:ascii="仿宋" w:hAnsi="仿宋" w:cs="仿宋_GB2312"/>
                <w:kern w:val="0"/>
                <w:sz w:val="18"/>
                <w:szCs w:val="18"/>
              </w:rPr>
              <w:t>页至</w:t>
            </w:r>
            <w:r>
              <w:rPr>
                <w:rFonts w:ascii="仿宋" w:hAnsi="仿宋" w:cs="仿宋_GB2312"/>
                <w:kern w:val="0"/>
                <w:sz w:val="18"/>
                <w:szCs w:val="18"/>
              </w:rPr>
              <w:t>47</w:t>
            </w:r>
            <w:r>
              <w:rPr>
                <w:rFonts w:hint="eastAsia" w:ascii="仿宋" w:hAnsi="仿宋" w:cs="仿宋_GB2312"/>
                <w:kern w:val="0"/>
                <w:sz w:val="18"/>
                <w:szCs w:val="18"/>
              </w:rPr>
              <w:t>页</w:t>
            </w:r>
          </w:p>
        </w:tc>
      </w:tr>
      <w:tr w14:paraId="69C9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534" w:type="dxa"/>
            <w:vMerge w:val="restart"/>
            <w:vAlign w:val="center"/>
          </w:tcPr>
          <w:p w14:paraId="707833E3">
            <w:pPr>
              <w:adjustRightInd w:val="0"/>
              <w:snapToGrid w:val="0"/>
              <w:contextualSpacing/>
              <w:rPr>
                <w:rFonts w:ascii="宋体" w:cs="黑体"/>
                <w:b/>
                <w:szCs w:val="21"/>
              </w:rPr>
            </w:pPr>
            <w:r>
              <w:rPr>
                <w:rFonts w:hint="eastAsia" w:ascii="宋体" w:hAnsi="宋体" w:cs="黑体"/>
                <w:b/>
                <w:szCs w:val="21"/>
              </w:rPr>
              <w:t>三、车辆要求：</w:t>
            </w:r>
          </w:p>
          <w:p w14:paraId="0A1CF855">
            <w:pPr>
              <w:adjustRightInd w:val="0"/>
              <w:snapToGrid w:val="0"/>
              <w:ind w:firstLine="420" w:firstLineChars="200"/>
              <w:contextualSpacing/>
              <w:rPr>
                <w:rFonts w:ascii="仿宋" w:eastAsia="仿宋" w:cs="仿宋_GB2312"/>
                <w:szCs w:val="21"/>
                <w:highlight w:val="yellow"/>
              </w:rPr>
            </w:pPr>
          </w:p>
        </w:tc>
        <w:tc>
          <w:tcPr>
            <w:tcW w:w="2693" w:type="dxa"/>
            <w:vAlign w:val="center"/>
          </w:tcPr>
          <w:p w14:paraId="52AC2283">
            <w:pPr>
              <w:adjustRightInd w:val="0"/>
              <w:snapToGrid w:val="0"/>
              <w:ind w:firstLine="420" w:firstLineChars="200"/>
              <w:contextualSpacing/>
              <w:rPr>
                <w:rFonts w:ascii="仿宋" w:eastAsia="仿宋" w:cs="仿宋"/>
                <w:szCs w:val="21"/>
              </w:rPr>
            </w:pPr>
            <w:r>
              <w:rPr>
                <w:rFonts w:ascii="仿宋" w:hAnsi="仿宋" w:cs="仿宋"/>
                <w:szCs w:val="21"/>
              </w:rPr>
              <w:t>1</w:t>
            </w:r>
            <w:r>
              <w:rPr>
                <w:rFonts w:hint="eastAsia" w:ascii="仿宋" w:hAnsi="仿宋" w:cs="仿宋"/>
                <w:szCs w:val="21"/>
              </w:rPr>
              <w:t>、用于本项目的校车必须符合中华人民共和国国务院令（第</w:t>
            </w:r>
            <w:r>
              <w:rPr>
                <w:rFonts w:ascii="仿宋" w:hAnsi="仿宋" w:cs="仿宋"/>
                <w:szCs w:val="21"/>
              </w:rPr>
              <w:t>617</w:t>
            </w:r>
            <w:r>
              <w:rPr>
                <w:rFonts w:hint="eastAsia" w:ascii="仿宋" w:hAnsi="仿宋" w:cs="仿宋"/>
                <w:szCs w:val="21"/>
              </w:rPr>
              <w:t>号）《校车安全管理条例》《专用校车安全技术条件》（</w:t>
            </w:r>
            <w:r>
              <w:rPr>
                <w:rFonts w:ascii="仿宋" w:hAnsi="仿宋" w:cs="仿宋"/>
                <w:szCs w:val="21"/>
              </w:rPr>
              <w:t>GB24407-2012</w:t>
            </w:r>
            <w:r>
              <w:rPr>
                <w:rFonts w:hint="eastAsia" w:ascii="仿宋" w:hAnsi="仿宋" w:cs="仿宋"/>
                <w:szCs w:val="21"/>
              </w:rPr>
              <w:t>）及《专用校车学生座椅系统及其车辆固定件的强度》（</w:t>
            </w:r>
            <w:r>
              <w:rPr>
                <w:rFonts w:ascii="仿宋" w:hAnsi="仿宋" w:cs="仿宋"/>
                <w:szCs w:val="21"/>
              </w:rPr>
              <w:t>GB24406-2012</w:t>
            </w:r>
            <w:r>
              <w:rPr>
                <w:rFonts w:hint="eastAsia" w:ascii="仿宋" w:hAnsi="仿宋" w:cs="仿宋"/>
                <w:szCs w:val="21"/>
              </w:rPr>
              <w:t>）标准的规定；</w:t>
            </w:r>
          </w:p>
        </w:tc>
        <w:tc>
          <w:tcPr>
            <w:tcW w:w="2693" w:type="dxa"/>
            <w:vAlign w:val="center"/>
          </w:tcPr>
          <w:p w14:paraId="013FBBE0">
            <w:pPr>
              <w:adjustRightInd w:val="0"/>
              <w:snapToGrid w:val="0"/>
              <w:ind w:firstLine="420" w:firstLineChars="200"/>
              <w:contextualSpacing/>
              <w:rPr>
                <w:rFonts w:ascii="仿宋" w:eastAsia="仿宋" w:cs="仿宋"/>
                <w:szCs w:val="21"/>
              </w:rPr>
            </w:pPr>
            <w:r>
              <w:rPr>
                <w:rFonts w:ascii="仿宋" w:hAnsi="仿宋" w:cs="仿宋"/>
                <w:szCs w:val="21"/>
              </w:rPr>
              <w:t>1</w:t>
            </w:r>
            <w:r>
              <w:rPr>
                <w:rFonts w:hint="eastAsia" w:ascii="仿宋" w:hAnsi="仿宋" w:cs="仿宋"/>
                <w:szCs w:val="21"/>
              </w:rPr>
              <w:t>、公司承诺用于本项目的校车符合中华人民共和国国务院令（第</w:t>
            </w:r>
            <w:r>
              <w:rPr>
                <w:rFonts w:ascii="仿宋" w:hAnsi="仿宋" w:cs="仿宋"/>
                <w:szCs w:val="21"/>
              </w:rPr>
              <w:t>617</w:t>
            </w:r>
            <w:r>
              <w:rPr>
                <w:rFonts w:hint="eastAsia" w:ascii="仿宋" w:hAnsi="仿宋" w:cs="仿宋"/>
                <w:szCs w:val="21"/>
              </w:rPr>
              <w:t>号）《校车安全管理条例》《专用校车安全技术条件》（</w:t>
            </w:r>
            <w:r>
              <w:rPr>
                <w:rFonts w:ascii="仿宋" w:hAnsi="仿宋" w:cs="仿宋"/>
                <w:szCs w:val="21"/>
              </w:rPr>
              <w:t>GB24407-2012</w:t>
            </w:r>
            <w:r>
              <w:rPr>
                <w:rFonts w:hint="eastAsia" w:ascii="仿宋" w:hAnsi="仿宋" w:cs="仿宋"/>
                <w:szCs w:val="21"/>
              </w:rPr>
              <w:t>）及《专用校车学生座椅系统及其车辆固定件的强度》（</w:t>
            </w:r>
            <w:r>
              <w:rPr>
                <w:rFonts w:ascii="仿宋" w:hAnsi="仿宋" w:cs="仿宋"/>
                <w:szCs w:val="21"/>
              </w:rPr>
              <w:t>GB24406-2012</w:t>
            </w:r>
            <w:r>
              <w:rPr>
                <w:rFonts w:hint="eastAsia" w:ascii="仿宋" w:hAnsi="仿宋" w:cs="仿宋"/>
                <w:szCs w:val="21"/>
              </w:rPr>
              <w:t>）标准的规定；</w:t>
            </w:r>
          </w:p>
        </w:tc>
        <w:tc>
          <w:tcPr>
            <w:tcW w:w="425" w:type="dxa"/>
            <w:vAlign w:val="center"/>
          </w:tcPr>
          <w:p w14:paraId="31F6AE03">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Align w:val="center"/>
          </w:tcPr>
          <w:p w14:paraId="5C9B1B4A">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Align w:val="center"/>
          </w:tcPr>
          <w:p w14:paraId="1C1D74AC">
            <w:pPr>
              <w:tabs>
                <w:tab w:val="left" w:pos="-75"/>
              </w:tabs>
              <w:snapToGrid w:val="0"/>
              <w:ind w:right="-57" w:rightChars="-27"/>
              <w:contextualSpacing/>
              <w:jc w:val="left"/>
              <w:rPr>
                <w:rFonts w:ascii="仿宋" w:eastAsia="仿宋" w:cs="仿宋_GB2312"/>
                <w:kern w:val="0"/>
                <w:szCs w:val="21"/>
              </w:rPr>
            </w:pPr>
          </w:p>
        </w:tc>
      </w:tr>
      <w:tr w14:paraId="74C3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1" w:hRule="atLeast"/>
        </w:trPr>
        <w:tc>
          <w:tcPr>
            <w:tcW w:w="534" w:type="dxa"/>
            <w:vMerge w:val="continue"/>
            <w:vAlign w:val="center"/>
          </w:tcPr>
          <w:p w14:paraId="6788A94A">
            <w:pPr>
              <w:adjustRightInd w:val="0"/>
              <w:snapToGrid w:val="0"/>
              <w:contextualSpacing/>
              <w:rPr>
                <w:rFonts w:ascii="宋体" w:cs="黑体"/>
                <w:b/>
                <w:szCs w:val="21"/>
              </w:rPr>
            </w:pPr>
          </w:p>
        </w:tc>
        <w:tc>
          <w:tcPr>
            <w:tcW w:w="2693" w:type="dxa"/>
            <w:vAlign w:val="center"/>
          </w:tcPr>
          <w:p w14:paraId="6F3DE360">
            <w:pPr>
              <w:adjustRightInd w:val="0"/>
              <w:snapToGrid w:val="0"/>
              <w:ind w:firstLine="420" w:firstLineChars="200"/>
              <w:contextualSpacing/>
              <w:rPr>
                <w:rFonts w:ascii="仿宋" w:eastAsia="仿宋" w:cs="仿宋"/>
                <w:szCs w:val="21"/>
              </w:rPr>
            </w:pPr>
            <w:r>
              <w:rPr>
                <w:rFonts w:ascii="仿宋" w:hAnsi="仿宋" w:cs="仿宋"/>
                <w:szCs w:val="21"/>
              </w:rPr>
              <w:t>2</w:t>
            </w:r>
            <w:r>
              <w:rPr>
                <w:rFonts w:hint="eastAsia" w:ascii="仿宋" w:hAnsi="仿宋" w:cs="仿宋"/>
                <w:szCs w:val="21"/>
              </w:rPr>
              <w:t>、所有车辆必须符合法律规定的服务年限、行驶里程，并达到专用校车安全国家标准，若合同期内达到报废要求或不符合上述标准，必须及时更换车辆，以确保校车安全运行；</w:t>
            </w:r>
          </w:p>
        </w:tc>
        <w:tc>
          <w:tcPr>
            <w:tcW w:w="2693" w:type="dxa"/>
            <w:vAlign w:val="center"/>
          </w:tcPr>
          <w:p w14:paraId="5E2FCB3B">
            <w:pPr>
              <w:adjustRightInd w:val="0"/>
              <w:snapToGrid w:val="0"/>
              <w:ind w:firstLine="420" w:firstLineChars="200"/>
              <w:contextualSpacing/>
              <w:rPr>
                <w:rFonts w:ascii="仿宋" w:eastAsia="仿宋" w:cs="仿宋"/>
                <w:szCs w:val="21"/>
              </w:rPr>
            </w:pPr>
            <w:r>
              <w:rPr>
                <w:rFonts w:ascii="仿宋" w:hAnsi="仿宋" w:cs="仿宋"/>
                <w:szCs w:val="21"/>
              </w:rPr>
              <w:t>2</w:t>
            </w:r>
            <w:r>
              <w:rPr>
                <w:rFonts w:hint="eastAsia" w:ascii="仿宋" w:hAnsi="仿宋" w:cs="仿宋"/>
                <w:szCs w:val="21"/>
              </w:rPr>
              <w:t>、所有车辆符合法律规定的服务年限、行驶里程，并达到专用校车安全国家标准，若合同期内达到报废要求或不符合上述标准，保证及时更换车辆，以确保校车安全运行；</w:t>
            </w:r>
          </w:p>
        </w:tc>
        <w:tc>
          <w:tcPr>
            <w:tcW w:w="425" w:type="dxa"/>
            <w:vAlign w:val="center"/>
          </w:tcPr>
          <w:p w14:paraId="1541CC30">
            <w:pPr>
              <w:jc w:val="center"/>
              <w:rPr>
                <w:rFonts w:ascii="仿宋" w:eastAsia="仿宋" w:cs="仿宋_GB2312"/>
                <w:kern w:val="0"/>
                <w:szCs w:val="21"/>
              </w:rPr>
            </w:pPr>
          </w:p>
          <w:p w14:paraId="505D2B84">
            <w:pPr>
              <w:jc w:val="center"/>
            </w:pPr>
            <w:r>
              <w:rPr>
                <w:rFonts w:hint="eastAsia" w:ascii="仿宋" w:hAnsi="仿宋" w:cs="仿宋_GB2312"/>
                <w:kern w:val="0"/>
                <w:szCs w:val="21"/>
              </w:rPr>
              <w:t>无偏离</w:t>
            </w:r>
          </w:p>
        </w:tc>
        <w:tc>
          <w:tcPr>
            <w:tcW w:w="709" w:type="dxa"/>
            <w:vAlign w:val="center"/>
          </w:tcPr>
          <w:p w14:paraId="56E2CCA6">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Merge w:val="restart"/>
            <w:vAlign w:val="center"/>
          </w:tcPr>
          <w:p w14:paraId="72169FA5">
            <w:pPr>
              <w:tabs>
                <w:tab w:val="left" w:pos="-75"/>
              </w:tabs>
              <w:snapToGrid w:val="0"/>
              <w:ind w:right="-57" w:rightChars="-27"/>
              <w:contextualSpacing/>
              <w:rPr>
                <w:rFonts w:ascii="仿宋" w:eastAsia="仿宋" w:cs="仿宋_GB2312"/>
                <w:kern w:val="0"/>
                <w:szCs w:val="21"/>
              </w:rPr>
            </w:pPr>
            <w:r>
              <w:rPr>
                <w:rFonts w:hint="eastAsia" w:ascii="仿宋" w:hAnsi="仿宋" w:cs="仿宋_GB2312"/>
                <w:kern w:val="0"/>
                <w:szCs w:val="21"/>
              </w:rPr>
              <w:t>备用校车明细表见</w:t>
            </w:r>
            <w:r>
              <w:rPr>
                <w:rFonts w:ascii="仿宋" w:hAnsi="仿宋" w:cs="仿宋_GB2312"/>
                <w:kern w:val="0"/>
                <w:szCs w:val="21"/>
              </w:rPr>
              <w:t>231</w:t>
            </w:r>
            <w:r>
              <w:rPr>
                <w:rFonts w:hint="eastAsia" w:ascii="仿宋" w:hAnsi="仿宋" w:cs="仿宋_GB2312"/>
                <w:kern w:val="0"/>
                <w:szCs w:val="21"/>
              </w:rPr>
              <w:t>页至</w:t>
            </w:r>
            <w:r>
              <w:rPr>
                <w:rFonts w:ascii="仿宋" w:hAnsi="仿宋" w:cs="仿宋_GB2312"/>
                <w:kern w:val="0"/>
                <w:szCs w:val="21"/>
              </w:rPr>
              <w:t>232</w:t>
            </w:r>
            <w:r>
              <w:rPr>
                <w:rFonts w:hint="eastAsia" w:ascii="仿宋" w:hAnsi="仿宋" w:cs="仿宋_GB2312"/>
                <w:kern w:val="0"/>
                <w:szCs w:val="21"/>
              </w:rPr>
              <w:t>页</w:t>
            </w:r>
          </w:p>
        </w:tc>
      </w:tr>
      <w:tr w14:paraId="7133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trPr>
        <w:tc>
          <w:tcPr>
            <w:tcW w:w="534" w:type="dxa"/>
            <w:vMerge w:val="continue"/>
            <w:vAlign w:val="center"/>
          </w:tcPr>
          <w:p w14:paraId="52AA0D97">
            <w:pPr>
              <w:adjustRightInd w:val="0"/>
              <w:snapToGrid w:val="0"/>
              <w:contextualSpacing/>
              <w:rPr>
                <w:rFonts w:ascii="宋体" w:cs="黑体"/>
                <w:b/>
                <w:szCs w:val="21"/>
              </w:rPr>
            </w:pPr>
          </w:p>
        </w:tc>
        <w:tc>
          <w:tcPr>
            <w:tcW w:w="2693" w:type="dxa"/>
            <w:vAlign w:val="center"/>
          </w:tcPr>
          <w:p w14:paraId="0065DD69">
            <w:pPr>
              <w:adjustRightInd w:val="0"/>
              <w:snapToGrid w:val="0"/>
              <w:ind w:firstLine="420" w:firstLineChars="200"/>
              <w:contextualSpacing/>
              <w:rPr>
                <w:rFonts w:ascii="仿宋" w:eastAsia="仿宋" w:cs="仿宋"/>
                <w:szCs w:val="21"/>
              </w:rPr>
            </w:pPr>
            <w:r>
              <w:rPr>
                <w:rFonts w:ascii="仿宋" w:hAnsi="仿宋" w:cs="仿宋"/>
                <w:szCs w:val="21"/>
              </w:rPr>
              <w:t>3</w:t>
            </w:r>
            <w:r>
              <w:rPr>
                <w:rFonts w:hint="eastAsia" w:ascii="仿宋" w:hAnsi="仿宋" w:cs="仿宋"/>
                <w:szCs w:val="21"/>
              </w:rPr>
              <w:t>、提供的车辆应保证安全运行情况良好、年检标志齐全；</w:t>
            </w:r>
            <w:r>
              <w:rPr>
                <w:rFonts w:ascii="仿宋" w:hAnsi="仿宋" w:cs="仿宋"/>
                <w:szCs w:val="21"/>
              </w:rPr>
              <w:t xml:space="preserve"> </w:t>
            </w:r>
          </w:p>
        </w:tc>
        <w:tc>
          <w:tcPr>
            <w:tcW w:w="2693" w:type="dxa"/>
            <w:vAlign w:val="center"/>
          </w:tcPr>
          <w:p w14:paraId="41C3FFD6">
            <w:pPr>
              <w:adjustRightInd w:val="0"/>
              <w:snapToGrid w:val="0"/>
              <w:ind w:firstLine="420" w:firstLineChars="200"/>
              <w:contextualSpacing/>
              <w:rPr>
                <w:rFonts w:ascii="仿宋" w:eastAsia="仿宋" w:cs="仿宋"/>
                <w:szCs w:val="21"/>
              </w:rPr>
            </w:pPr>
            <w:r>
              <w:rPr>
                <w:rFonts w:ascii="仿宋" w:hAnsi="仿宋" w:cs="仿宋"/>
                <w:szCs w:val="21"/>
              </w:rPr>
              <w:t>3</w:t>
            </w:r>
            <w:r>
              <w:rPr>
                <w:rFonts w:hint="eastAsia" w:ascii="仿宋" w:hAnsi="仿宋" w:cs="仿宋"/>
                <w:szCs w:val="21"/>
              </w:rPr>
              <w:t>、提供的车辆保证安全运行情况良好、年检标志齐全；</w:t>
            </w:r>
            <w:r>
              <w:rPr>
                <w:rFonts w:ascii="仿宋" w:hAnsi="仿宋" w:cs="仿宋"/>
                <w:szCs w:val="21"/>
              </w:rPr>
              <w:t xml:space="preserve"> </w:t>
            </w:r>
          </w:p>
        </w:tc>
        <w:tc>
          <w:tcPr>
            <w:tcW w:w="425" w:type="dxa"/>
            <w:vAlign w:val="center"/>
          </w:tcPr>
          <w:p w14:paraId="465C0D9D">
            <w:pPr>
              <w:jc w:val="center"/>
            </w:pPr>
            <w:r>
              <w:rPr>
                <w:rFonts w:hint="eastAsia" w:ascii="仿宋" w:hAnsi="仿宋" w:cs="仿宋_GB2312"/>
                <w:kern w:val="0"/>
                <w:szCs w:val="21"/>
              </w:rPr>
              <w:t>无偏离</w:t>
            </w:r>
          </w:p>
        </w:tc>
        <w:tc>
          <w:tcPr>
            <w:tcW w:w="709" w:type="dxa"/>
            <w:vAlign w:val="center"/>
          </w:tcPr>
          <w:p w14:paraId="3547C448">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Merge w:val="continue"/>
            <w:vAlign w:val="center"/>
          </w:tcPr>
          <w:p w14:paraId="0EB0386A">
            <w:pPr>
              <w:tabs>
                <w:tab w:val="left" w:pos="-75"/>
              </w:tabs>
              <w:snapToGrid w:val="0"/>
              <w:ind w:right="-57" w:rightChars="-27"/>
              <w:contextualSpacing/>
              <w:rPr>
                <w:rFonts w:ascii="仿宋" w:eastAsia="仿宋" w:cs="仿宋_GB2312"/>
                <w:kern w:val="0"/>
                <w:szCs w:val="21"/>
              </w:rPr>
            </w:pPr>
          </w:p>
        </w:tc>
      </w:tr>
      <w:tr w14:paraId="383D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534" w:type="dxa"/>
            <w:vMerge w:val="continue"/>
            <w:vAlign w:val="center"/>
          </w:tcPr>
          <w:p w14:paraId="533C50A6">
            <w:pPr>
              <w:adjustRightInd w:val="0"/>
              <w:snapToGrid w:val="0"/>
              <w:contextualSpacing/>
              <w:rPr>
                <w:rFonts w:ascii="宋体" w:cs="黑体"/>
                <w:b/>
                <w:szCs w:val="21"/>
              </w:rPr>
            </w:pPr>
          </w:p>
        </w:tc>
        <w:tc>
          <w:tcPr>
            <w:tcW w:w="2693" w:type="dxa"/>
            <w:vAlign w:val="center"/>
          </w:tcPr>
          <w:p w14:paraId="59BE28B8">
            <w:pPr>
              <w:adjustRightInd w:val="0"/>
              <w:snapToGrid w:val="0"/>
              <w:ind w:firstLine="420" w:firstLineChars="200"/>
              <w:contextualSpacing/>
              <w:rPr>
                <w:rFonts w:ascii="仿宋" w:eastAsia="仿宋" w:cs="仿宋"/>
                <w:szCs w:val="21"/>
              </w:rPr>
            </w:pPr>
            <w:r>
              <w:rPr>
                <w:rFonts w:ascii="仿宋" w:hAnsi="仿宋" w:cs="仿宋"/>
                <w:szCs w:val="21"/>
              </w:rPr>
              <w:t>4</w:t>
            </w:r>
            <w:r>
              <w:rPr>
                <w:rFonts w:hint="eastAsia" w:ascii="仿宋" w:hAnsi="仿宋" w:cs="仿宋"/>
                <w:szCs w:val="21"/>
              </w:rPr>
              <w:t>、提供的车辆应办理校车使用许可证；</w:t>
            </w:r>
          </w:p>
        </w:tc>
        <w:tc>
          <w:tcPr>
            <w:tcW w:w="2693" w:type="dxa"/>
            <w:vAlign w:val="center"/>
          </w:tcPr>
          <w:p w14:paraId="3AAB4364">
            <w:pPr>
              <w:adjustRightInd w:val="0"/>
              <w:snapToGrid w:val="0"/>
              <w:ind w:firstLine="420" w:firstLineChars="200"/>
              <w:contextualSpacing/>
              <w:rPr>
                <w:rFonts w:ascii="仿宋" w:eastAsia="仿宋" w:cs="仿宋"/>
                <w:szCs w:val="21"/>
              </w:rPr>
            </w:pPr>
            <w:r>
              <w:rPr>
                <w:rFonts w:ascii="仿宋" w:hAnsi="仿宋" w:cs="仿宋"/>
                <w:szCs w:val="21"/>
              </w:rPr>
              <w:t>4</w:t>
            </w:r>
            <w:r>
              <w:rPr>
                <w:rFonts w:hint="eastAsia" w:ascii="仿宋" w:hAnsi="仿宋" w:cs="仿宋"/>
                <w:szCs w:val="21"/>
              </w:rPr>
              <w:t>、提供的车辆已经办理校车使用许可证；</w:t>
            </w:r>
          </w:p>
        </w:tc>
        <w:tc>
          <w:tcPr>
            <w:tcW w:w="425" w:type="dxa"/>
            <w:vAlign w:val="center"/>
          </w:tcPr>
          <w:p w14:paraId="26CDD9B1">
            <w:pPr>
              <w:jc w:val="center"/>
            </w:pPr>
            <w:r>
              <w:rPr>
                <w:rFonts w:hint="eastAsia" w:ascii="仿宋" w:hAnsi="仿宋" w:cs="仿宋_GB2312"/>
                <w:kern w:val="0"/>
                <w:szCs w:val="21"/>
              </w:rPr>
              <w:t>无偏离</w:t>
            </w:r>
          </w:p>
        </w:tc>
        <w:tc>
          <w:tcPr>
            <w:tcW w:w="709" w:type="dxa"/>
            <w:vAlign w:val="center"/>
          </w:tcPr>
          <w:p w14:paraId="2EAE8E0F">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Align w:val="center"/>
          </w:tcPr>
          <w:p w14:paraId="418CDFB7">
            <w:pPr>
              <w:tabs>
                <w:tab w:val="left" w:pos="-75"/>
              </w:tabs>
              <w:snapToGrid w:val="0"/>
              <w:ind w:right="-57" w:rightChars="-27"/>
              <w:contextualSpacing/>
              <w:jc w:val="left"/>
              <w:rPr>
                <w:rFonts w:ascii="仿宋" w:eastAsia="仿宋" w:cs="仿宋_GB2312"/>
                <w:kern w:val="0"/>
                <w:szCs w:val="21"/>
              </w:rPr>
            </w:pPr>
            <w:r>
              <w:rPr>
                <w:rFonts w:hint="eastAsia" w:ascii="仿宋" w:hAnsi="仿宋" w:cs="仿宋_GB2312"/>
                <w:kern w:val="0"/>
                <w:szCs w:val="21"/>
              </w:rPr>
              <w:t>校车使用许可证见</w:t>
            </w:r>
            <w:r>
              <w:rPr>
                <w:rFonts w:ascii="仿宋" w:hAnsi="仿宋" w:cs="仿宋_GB2312"/>
                <w:kern w:val="0"/>
                <w:szCs w:val="21"/>
              </w:rPr>
              <w:t>32</w:t>
            </w:r>
            <w:r>
              <w:rPr>
                <w:rFonts w:hint="eastAsia" w:ascii="仿宋" w:hAnsi="仿宋" w:cs="仿宋_GB2312"/>
                <w:kern w:val="0"/>
                <w:szCs w:val="21"/>
              </w:rPr>
              <w:t>页</w:t>
            </w:r>
            <w:r>
              <w:rPr>
                <w:rFonts w:ascii="仿宋" w:hAnsi="仿宋" w:cs="仿宋_GB2312"/>
                <w:kern w:val="0"/>
                <w:szCs w:val="21"/>
              </w:rPr>
              <w:t>-43</w:t>
            </w:r>
            <w:r>
              <w:rPr>
                <w:rFonts w:hint="eastAsia" w:ascii="仿宋" w:hAnsi="仿宋" w:cs="仿宋_GB2312"/>
                <w:kern w:val="0"/>
                <w:szCs w:val="21"/>
              </w:rPr>
              <w:t>页</w:t>
            </w:r>
          </w:p>
        </w:tc>
      </w:tr>
      <w:tr w14:paraId="7CA0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534" w:type="dxa"/>
            <w:vMerge w:val="continue"/>
            <w:vAlign w:val="center"/>
          </w:tcPr>
          <w:p w14:paraId="46832DEE">
            <w:pPr>
              <w:adjustRightInd w:val="0"/>
              <w:snapToGrid w:val="0"/>
              <w:contextualSpacing/>
              <w:rPr>
                <w:rFonts w:ascii="宋体" w:cs="黑体"/>
                <w:b/>
                <w:szCs w:val="21"/>
              </w:rPr>
            </w:pPr>
          </w:p>
        </w:tc>
        <w:tc>
          <w:tcPr>
            <w:tcW w:w="2693" w:type="dxa"/>
            <w:vAlign w:val="center"/>
          </w:tcPr>
          <w:p w14:paraId="3F86339A">
            <w:pPr>
              <w:adjustRightInd w:val="0"/>
              <w:snapToGrid w:val="0"/>
              <w:ind w:firstLine="420" w:firstLineChars="200"/>
              <w:contextualSpacing/>
              <w:rPr>
                <w:rFonts w:ascii="仿宋" w:eastAsia="仿宋" w:cs="仿宋"/>
                <w:szCs w:val="21"/>
              </w:rPr>
            </w:pPr>
            <w:r>
              <w:rPr>
                <w:rFonts w:ascii="仿宋" w:hAnsi="仿宋" w:cs="仿宋"/>
                <w:szCs w:val="21"/>
              </w:rPr>
              <w:t>5</w:t>
            </w:r>
            <w:r>
              <w:rPr>
                <w:rFonts w:hint="eastAsia" w:ascii="仿宋" w:hAnsi="仿宋" w:cs="仿宋"/>
                <w:szCs w:val="21"/>
              </w:rPr>
              <w:t>、提供的车辆应具备全部法定手续；</w:t>
            </w:r>
          </w:p>
        </w:tc>
        <w:tc>
          <w:tcPr>
            <w:tcW w:w="2693" w:type="dxa"/>
            <w:vAlign w:val="center"/>
          </w:tcPr>
          <w:p w14:paraId="3392DB34">
            <w:pPr>
              <w:adjustRightInd w:val="0"/>
              <w:snapToGrid w:val="0"/>
              <w:ind w:firstLine="420" w:firstLineChars="200"/>
              <w:contextualSpacing/>
              <w:rPr>
                <w:rFonts w:ascii="仿宋" w:eastAsia="仿宋" w:cs="仿宋"/>
                <w:szCs w:val="21"/>
              </w:rPr>
            </w:pPr>
            <w:r>
              <w:rPr>
                <w:rFonts w:ascii="仿宋" w:hAnsi="仿宋" w:cs="仿宋"/>
                <w:szCs w:val="21"/>
              </w:rPr>
              <w:t>5</w:t>
            </w:r>
            <w:r>
              <w:rPr>
                <w:rFonts w:hint="eastAsia" w:ascii="仿宋" w:hAnsi="仿宋" w:cs="仿宋"/>
                <w:szCs w:val="21"/>
              </w:rPr>
              <w:t>、提供的车辆具备全部法定手续；</w:t>
            </w:r>
          </w:p>
        </w:tc>
        <w:tc>
          <w:tcPr>
            <w:tcW w:w="425" w:type="dxa"/>
            <w:vAlign w:val="center"/>
          </w:tcPr>
          <w:p w14:paraId="150A83A3">
            <w:pPr>
              <w:jc w:val="center"/>
            </w:pPr>
            <w:r>
              <w:rPr>
                <w:rFonts w:hint="eastAsia" w:ascii="仿宋" w:hAnsi="仿宋" w:cs="仿宋_GB2312"/>
                <w:kern w:val="0"/>
                <w:szCs w:val="21"/>
              </w:rPr>
              <w:t>无偏离</w:t>
            </w:r>
          </w:p>
        </w:tc>
        <w:tc>
          <w:tcPr>
            <w:tcW w:w="709" w:type="dxa"/>
            <w:vAlign w:val="center"/>
          </w:tcPr>
          <w:p w14:paraId="0398E56A">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Align w:val="center"/>
          </w:tcPr>
          <w:p w14:paraId="16E31D79">
            <w:pPr>
              <w:tabs>
                <w:tab w:val="left" w:pos="-75"/>
              </w:tabs>
              <w:snapToGrid w:val="0"/>
              <w:ind w:right="-57" w:rightChars="-27"/>
              <w:contextualSpacing/>
              <w:jc w:val="left"/>
              <w:rPr>
                <w:rFonts w:ascii="仿宋" w:eastAsia="仿宋" w:cs="仿宋_GB2312"/>
                <w:kern w:val="0"/>
                <w:szCs w:val="21"/>
              </w:rPr>
            </w:pPr>
            <w:r>
              <w:rPr>
                <w:rFonts w:hint="eastAsia" w:ascii="仿宋" w:hAnsi="仿宋" w:cs="仿宋_GB2312"/>
                <w:kern w:val="0"/>
                <w:szCs w:val="21"/>
              </w:rPr>
              <w:t>车辆手续见</w:t>
            </w:r>
            <w:r>
              <w:rPr>
                <w:rFonts w:ascii="仿宋" w:hAnsi="仿宋" w:cs="仿宋_GB2312"/>
                <w:kern w:val="0"/>
                <w:szCs w:val="21"/>
              </w:rPr>
              <w:t>237</w:t>
            </w:r>
            <w:r>
              <w:rPr>
                <w:rFonts w:hint="eastAsia" w:ascii="仿宋" w:hAnsi="仿宋" w:cs="仿宋_GB2312"/>
                <w:kern w:val="0"/>
                <w:szCs w:val="21"/>
              </w:rPr>
              <w:t>页至</w:t>
            </w:r>
            <w:r>
              <w:rPr>
                <w:rFonts w:ascii="仿宋" w:hAnsi="仿宋" w:cs="仿宋_GB2312"/>
                <w:kern w:val="0"/>
                <w:szCs w:val="21"/>
              </w:rPr>
              <w:t>332</w:t>
            </w:r>
            <w:r>
              <w:rPr>
                <w:rFonts w:hint="eastAsia" w:ascii="仿宋" w:hAnsi="仿宋" w:cs="仿宋_GB2312"/>
                <w:kern w:val="0"/>
                <w:szCs w:val="21"/>
              </w:rPr>
              <w:t>页</w:t>
            </w:r>
          </w:p>
        </w:tc>
      </w:tr>
      <w:tr w14:paraId="307E0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534" w:type="dxa"/>
            <w:vMerge w:val="continue"/>
            <w:vAlign w:val="center"/>
          </w:tcPr>
          <w:p w14:paraId="7046CB1A">
            <w:pPr>
              <w:adjustRightInd w:val="0"/>
              <w:snapToGrid w:val="0"/>
              <w:contextualSpacing/>
              <w:rPr>
                <w:rFonts w:ascii="宋体" w:cs="黑体"/>
                <w:b/>
                <w:szCs w:val="21"/>
              </w:rPr>
            </w:pPr>
          </w:p>
        </w:tc>
        <w:tc>
          <w:tcPr>
            <w:tcW w:w="2693" w:type="dxa"/>
            <w:vAlign w:val="center"/>
          </w:tcPr>
          <w:p w14:paraId="4E97A20F">
            <w:pPr>
              <w:adjustRightInd w:val="0"/>
              <w:snapToGrid w:val="0"/>
              <w:ind w:firstLine="420" w:firstLineChars="200"/>
              <w:contextualSpacing/>
              <w:rPr>
                <w:rFonts w:ascii="仿宋" w:eastAsia="仿宋" w:cs="仿宋"/>
                <w:szCs w:val="21"/>
              </w:rPr>
            </w:pPr>
            <w:r>
              <w:rPr>
                <w:rFonts w:ascii="仿宋" w:hAnsi="仿宋" w:cs="仿宋"/>
                <w:szCs w:val="21"/>
              </w:rPr>
              <w:t>6</w:t>
            </w:r>
            <w:r>
              <w:rPr>
                <w:rFonts w:hint="eastAsia" w:ascii="仿宋" w:hAnsi="仿宋" w:cs="仿宋"/>
                <w:szCs w:val="21"/>
              </w:rPr>
              <w:t>、提供的车辆应具备完整、有效的质量保证体系；</w:t>
            </w:r>
          </w:p>
        </w:tc>
        <w:tc>
          <w:tcPr>
            <w:tcW w:w="2693" w:type="dxa"/>
            <w:vAlign w:val="center"/>
          </w:tcPr>
          <w:p w14:paraId="65134A5D">
            <w:pPr>
              <w:adjustRightInd w:val="0"/>
              <w:snapToGrid w:val="0"/>
              <w:ind w:firstLine="420" w:firstLineChars="200"/>
              <w:contextualSpacing/>
              <w:rPr>
                <w:rFonts w:ascii="仿宋" w:eastAsia="仿宋" w:cs="仿宋"/>
                <w:szCs w:val="21"/>
              </w:rPr>
            </w:pPr>
            <w:r>
              <w:rPr>
                <w:rFonts w:ascii="仿宋" w:hAnsi="仿宋" w:cs="仿宋"/>
                <w:szCs w:val="21"/>
              </w:rPr>
              <w:t>6</w:t>
            </w:r>
            <w:r>
              <w:rPr>
                <w:rFonts w:hint="eastAsia" w:ascii="仿宋" w:hAnsi="仿宋" w:cs="仿宋"/>
                <w:szCs w:val="21"/>
              </w:rPr>
              <w:t>、提供的车辆具备完整、有效的质量保证体系；</w:t>
            </w:r>
          </w:p>
        </w:tc>
        <w:tc>
          <w:tcPr>
            <w:tcW w:w="425" w:type="dxa"/>
            <w:vAlign w:val="center"/>
          </w:tcPr>
          <w:p w14:paraId="33BAA751">
            <w:pPr>
              <w:jc w:val="center"/>
            </w:pPr>
            <w:r>
              <w:rPr>
                <w:rFonts w:hint="eastAsia" w:ascii="仿宋" w:hAnsi="仿宋" w:cs="仿宋_GB2312"/>
                <w:kern w:val="0"/>
                <w:szCs w:val="21"/>
              </w:rPr>
              <w:t>无偏离</w:t>
            </w:r>
          </w:p>
        </w:tc>
        <w:tc>
          <w:tcPr>
            <w:tcW w:w="709" w:type="dxa"/>
            <w:vAlign w:val="center"/>
          </w:tcPr>
          <w:p w14:paraId="7FE7E3D8">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Align w:val="center"/>
          </w:tcPr>
          <w:p w14:paraId="2E583FAD">
            <w:pPr>
              <w:tabs>
                <w:tab w:val="left" w:pos="-75"/>
              </w:tabs>
              <w:snapToGrid w:val="0"/>
              <w:ind w:right="-57" w:rightChars="-27"/>
              <w:contextualSpacing/>
              <w:jc w:val="left"/>
              <w:rPr>
                <w:rFonts w:ascii="仿宋" w:eastAsia="仿宋" w:cs="仿宋_GB2312"/>
                <w:kern w:val="0"/>
                <w:szCs w:val="21"/>
              </w:rPr>
            </w:pPr>
            <w:r>
              <w:rPr>
                <w:rFonts w:hint="eastAsia" w:ascii="仿宋" w:hAnsi="仿宋" w:cs="仿宋_GB2312"/>
                <w:kern w:val="0"/>
                <w:szCs w:val="21"/>
              </w:rPr>
              <w:t>质量保证体系见</w:t>
            </w:r>
            <w:r>
              <w:rPr>
                <w:rFonts w:ascii="仿宋" w:hAnsi="仿宋" w:cs="仿宋_GB2312"/>
                <w:kern w:val="0"/>
                <w:szCs w:val="21"/>
              </w:rPr>
              <w:t>233</w:t>
            </w:r>
            <w:r>
              <w:rPr>
                <w:rFonts w:hint="eastAsia" w:ascii="仿宋" w:hAnsi="仿宋" w:cs="仿宋_GB2312"/>
                <w:kern w:val="0"/>
                <w:szCs w:val="21"/>
              </w:rPr>
              <w:t>页至</w:t>
            </w:r>
            <w:r>
              <w:rPr>
                <w:rFonts w:ascii="仿宋" w:hAnsi="仿宋" w:cs="仿宋_GB2312"/>
                <w:kern w:val="0"/>
                <w:szCs w:val="21"/>
              </w:rPr>
              <w:t>236</w:t>
            </w:r>
            <w:r>
              <w:rPr>
                <w:rFonts w:hint="eastAsia" w:ascii="仿宋" w:hAnsi="仿宋" w:cs="仿宋_GB2312"/>
                <w:kern w:val="0"/>
                <w:szCs w:val="21"/>
              </w:rPr>
              <w:t>页</w:t>
            </w:r>
          </w:p>
        </w:tc>
      </w:tr>
      <w:tr w14:paraId="642F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5" w:hRule="atLeast"/>
        </w:trPr>
        <w:tc>
          <w:tcPr>
            <w:tcW w:w="534" w:type="dxa"/>
            <w:vMerge w:val="continue"/>
            <w:vAlign w:val="center"/>
          </w:tcPr>
          <w:p w14:paraId="66E15C81">
            <w:pPr>
              <w:adjustRightInd w:val="0"/>
              <w:snapToGrid w:val="0"/>
              <w:contextualSpacing/>
              <w:rPr>
                <w:rFonts w:ascii="宋体" w:cs="黑体"/>
                <w:b/>
                <w:szCs w:val="21"/>
              </w:rPr>
            </w:pPr>
          </w:p>
        </w:tc>
        <w:tc>
          <w:tcPr>
            <w:tcW w:w="2693" w:type="dxa"/>
            <w:vAlign w:val="center"/>
          </w:tcPr>
          <w:p w14:paraId="686BEDFC">
            <w:pPr>
              <w:adjustRightInd w:val="0"/>
              <w:snapToGrid w:val="0"/>
              <w:ind w:firstLine="420" w:firstLineChars="200"/>
              <w:contextualSpacing/>
              <w:rPr>
                <w:rFonts w:ascii="仿宋" w:eastAsia="仿宋" w:cs="仿宋"/>
                <w:szCs w:val="21"/>
              </w:rPr>
            </w:pPr>
            <w:r>
              <w:rPr>
                <w:rFonts w:ascii="仿宋" w:hAnsi="仿宋" w:cs="仿宋"/>
                <w:szCs w:val="21"/>
              </w:rPr>
              <w:t>7</w:t>
            </w:r>
            <w:r>
              <w:rPr>
                <w:rFonts w:hint="eastAsia" w:ascii="仿宋" w:hAnsi="仿宋" w:cs="仿宋"/>
                <w:szCs w:val="21"/>
              </w:rPr>
              <w:t>、车辆须有机动车交通事故責任强制保险、全车座位险（每座至少</w:t>
            </w:r>
            <w:r>
              <w:rPr>
                <w:rFonts w:ascii="仿宋" w:hAnsi="仿宋" w:cs="仿宋"/>
                <w:szCs w:val="21"/>
              </w:rPr>
              <w:t>50</w:t>
            </w:r>
            <w:r>
              <w:rPr>
                <w:rFonts w:hint="eastAsia" w:ascii="仿宋" w:hAnsi="仿宋" w:cs="仿宋"/>
                <w:szCs w:val="21"/>
              </w:rPr>
              <w:t>万元），商业第三者责任保险不低于</w:t>
            </w:r>
            <w:r>
              <w:rPr>
                <w:rFonts w:ascii="仿宋" w:hAnsi="仿宋" w:cs="仿宋"/>
                <w:szCs w:val="21"/>
              </w:rPr>
              <w:t>50</w:t>
            </w:r>
            <w:r>
              <w:rPr>
                <w:rFonts w:hint="eastAsia" w:ascii="仿宋" w:hAnsi="仿宋" w:cs="仿宋"/>
                <w:szCs w:val="21"/>
              </w:rPr>
              <w:t>万元，并由校车公司配备车内照管人员；</w:t>
            </w:r>
          </w:p>
        </w:tc>
        <w:tc>
          <w:tcPr>
            <w:tcW w:w="2693" w:type="dxa"/>
            <w:vAlign w:val="center"/>
          </w:tcPr>
          <w:p w14:paraId="0EF48CB0">
            <w:pPr>
              <w:adjustRightInd w:val="0"/>
              <w:snapToGrid w:val="0"/>
              <w:ind w:firstLine="420" w:firstLineChars="200"/>
              <w:contextualSpacing/>
              <w:rPr>
                <w:rFonts w:ascii="仿宋" w:eastAsia="仿宋" w:cs="仿宋"/>
                <w:szCs w:val="21"/>
              </w:rPr>
            </w:pPr>
            <w:r>
              <w:rPr>
                <w:rFonts w:ascii="仿宋" w:hAnsi="仿宋" w:cs="仿宋"/>
                <w:szCs w:val="21"/>
              </w:rPr>
              <w:t>7</w:t>
            </w:r>
            <w:r>
              <w:rPr>
                <w:rFonts w:hint="eastAsia" w:ascii="仿宋" w:hAnsi="仿宋" w:cs="仿宋"/>
                <w:szCs w:val="21"/>
              </w:rPr>
              <w:t>、车辆有机动车交通事故责任强制保险、全车座位险（每座至少</w:t>
            </w:r>
            <w:r>
              <w:rPr>
                <w:rFonts w:ascii="仿宋" w:hAnsi="仿宋" w:cs="仿宋"/>
                <w:szCs w:val="21"/>
              </w:rPr>
              <w:t>50</w:t>
            </w:r>
            <w:r>
              <w:rPr>
                <w:rFonts w:hint="eastAsia" w:ascii="仿宋" w:hAnsi="仿宋" w:cs="仿宋"/>
                <w:szCs w:val="21"/>
              </w:rPr>
              <w:t>万元），商业第三者责任保险不低于</w:t>
            </w:r>
            <w:r>
              <w:rPr>
                <w:rFonts w:ascii="仿宋" w:hAnsi="仿宋" w:cs="仿宋"/>
                <w:szCs w:val="21"/>
              </w:rPr>
              <w:t>50</w:t>
            </w:r>
            <w:r>
              <w:rPr>
                <w:rFonts w:hint="eastAsia" w:ascii="仿宋" w:hAnsi="仿宋" w:cs="仿宋"/>
                <w:szCs w:val="21"/>
              </w:rPr>
              <w:t>万元，并配备车内照管人员；</w:t>
            </w:r>
          </w:p>
        </w:tc>
        <w:tc>
          <w:tcPr>
            <w:tcW w:w="425" w:type="dxa"/>
            <w:vAlign w:val="center"/>
          </w:tcPr>
          <w:p w14:paraId="06009146">
            <w:pPr>
              <w:jc w:val="center"/>
            </w:pPr>
            <w:r>
              <w:rPr>
                <w:rFonts w:hint="eastAsia" w:ascii="仿宋" w:hAnsi="仿宋" w:cs="仿宋_GB2312"/>
                <w:kern w:val="0"/>
                <w:szCs w:val="21"/>
              </w:rPr>
              <w:t>无偏离</w:t>
            </w:r>
          </w:p>
        </w:tc>
        <w:tc>
          <w:tcPr>
            <w:tcW w:w="709" w:type="dxa"/>
            <w:vAlign w:val="center"/>
          </w:tcPr>
          <w:p w14:paraId="10BEF30D">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Align w:val="center"/>
          </w:tcPr>
          <w:p w14:paraId="0333FD15">
            <w:pPr>
              <w:tabs>
                <w:tab w:val="left" w:pos="-75"/>
              </w:tabs>
              <w:snapToGrid w:val="0"/>
              <w:ind w:right="-57" w:rightChars="-27"/>
              <w:contextualSpacing/>
              <w:jc w:val="left"/>
              <w:rPr>
                <w:rFonts w:ascii="仿宋" w:eastAsia="仿宋" w:cs="仿宋_GB2312"/>
                <w:kern w:val="0"/>
                <w:szCs w:val="21"/>
              </w:rPr>
            </w:pPr>
            <w:r>
              <w:rPr>
                <w:rFonts w:hint="eastAsia" w:ascii="仿宋" w:hAnsi="仿宋" w:cs="仿宋_GB2312"/>
                <w:kern w:val="0"/>
                <w:szCs w:val="21"/>
              </w:rPr>
              <w:t>交强险见</w:t>
            </w:r>
            <w:r>
              <w:rPr>
                <w:rFonts w:ascii="仿宋" w:hAnsi="仿宋" w:cs="仿宋_GB2312"/>
                <w:kern w:val="0"/>
                <w:szCs w:val="21"/>
              </w:rPr>
              <w:t xml:space="preserve"> 261</w:t>
            </w:r>
            <w:r>
              <w:rPr>
                <w:rFonts w:hint="eastAsia" w:ascii="仿宋" w:hAnsi="仿宋" w:cs="仿宋_GB2312"/>
                <w:kern w:val="0"/>
                <w:szCs w:val="21"/>
              </w:rPr>
              <w:t>页至</w:t>
            </w:r>
            <w:r>
              <w:rPr>
                <w:rFonts w:ascii="仿宋" w:hAnsi="仿宋" w:cs="仿宋_GB2312"/>
                <w:kern w:val="0"/>
                <w:szCs w:val="21"/>
              </w:rPr>
              <w:t>284</w:t>
            </w:r>
            <w:r>
              <w:rPr>
                <w:rFonts w:hint="eastAsia" w:ascii="仿宋" w:hAnsi="仿宋" w:cs="仿宋_GB2312"/>
                <w:kern w:val="0"/>
                <w:szCs w:val="21"/>
              </w:rPr>
              <w:t>页</w:t>
            </w:r>
          </w:p>
          <w:p w14:paraId="3341E18D">
            <w:pPr>
              <w:tabs>
                <w:tab w:val="left" w:pos="-75"/>
              </w:tabs>
              <w:snapToGrid w:val="0"/>
              <w:ind w:right="-57" w:rightChars="-27"/>
              <w:contextualSpacing/>
              <w:jc w:val="left"/>
              <w:rPr>
                <w:rFonts w:ascii="仿宋" w:eastAsia="仿宋" w:cs="仿宋_GB2312"/>
                <w:kern w:val="0"/>
                <w:szCs w:val="21"/>
              </w:rPr>
            </w:pPr>
            <w:r>
              <w:rPr>
                <w:rFonts w:hint="eastAsia" w:ascii="仿宋" w:hAnsi="仿宋" w:cs="仿宋_GB2312"/>
                <w:kern w:val="0"/>
                <w:szCs w:val="21"/>
              </w:rPr>
              <w:t>座位险见</w:t>
            </w:r>
            <w:r>
              <w:rPr>
                <w:rFonts w:ascii="仿宋" w:hAnsi="仿宋" w:cs="仿宋_GB2312"/>
                <w:kern w:val="0"/>
                <w:szCs w:val="21"/>
              </w:rPr>
              <w:t>285</w:t>
            </w:r>
            <w:r>
              <w:rPr>
                <w:rFonts w:hint="eastAsia" w:ascii="仿宋" w:hAnsi="仿宋" w:cs="仿宋_GB2312"/>
                <w:kern w:val="0"/>
                <w:szCs w:val="21"/>
              </w:rPr>
              <w:t>页至</w:t>
            </w:r>
            <w:r>
              <w:rPr>
                <w:rFonts w:ascii="仿宋" w:hAnsi="仿宋" w:cs="仿宋_GB2312"/>
                <w:kern w:val="0"/>
                <w:szCs w:val="21"/>
              </w:rPr>
              <w:t xml:space="preserve"> 308</w:t>
            </w:r>
            <w:r>
              <w:rPr>
                <w:rFonts w:hint="eastAsia" w:ascii="仿宋" w:hAnsi="仿宋" w:cs="仿宋_GB2312"/>
                <w:kern w:val="0"/>
                <w:szCs w:val="21"/>
              </w:rPr>
              <w:t>页</w:t>
            </w:r>
          </w:p>
          <w:p w14:paraId="56BC0B57">
            <w:pPr>
              <w:tabs>
                <w:tab w:val="left" w:pos="-75"/>
              </w:tabs>
              <w:snapToGrid w:val="0"/>
              <w:ind w:right="-57" w:rightChars="-27"/>
              <w:contextualSpacing/>
              <w:jc w:val="left"/>
              <w:rPr>
                <w:rFonts w:ascii="仿宋" w:eastAsia="仿宋" w:cs="仿宋_GB2312"/>
                <w:kern w:val="0"/>
                <w:szCs w:val="21"/>
              </w:rPr>
            </w:pPr>
            <w:r>
              <w:rPr>
                <w:rFonts w:hint="eastAsia" w:ascii="仿宋" w:hAnsi="仿宋" w:cs="仿宋_GB2312"/>
                <w:kern w:val="0"/>
                <w:szCs w:val="21"/>
              </w:rPr>
              <w:t>商业第三者责任险见</w:t>
            </w:r>
            <w:r>
              <w:rPr>
                <w:rFonts w:ascii="仿宋" w:hAnsi="仿宋" w:cs="仿宋_GB2312"/>
                <w:kern w:val="0"/>
                <w:szCs w:val="21"/>
              </w:rPr>
              <w:t>309</w:t>
            </w:r>
            <w:r>
              <w:rPr>
                <w:rFonts w:hint="eastAsia" w:ascii="仿宋" w:hAnsi="仿宋" w:cs="仿宋_GB2312"/>
                <w:kern w:val="0"/>
                <w:szCs w:val="21"/>
              </w:rPr>
              <w:t>页至</w:t>
            </w:r>
            <w:r>
              <w:rPr>
                <w:rFonts w:ascii="仿宋" w:hAnsi="仿宋" w:cs="仿宋_GB2312"/>
                <w:kern w:val="0"/>
                <w:szCs w:val="21"/>
              </w:rPr>
              <w:t>332</w:t>
            </w:r>
            <w:r>
              <w:rPr>
                <w:rFonts w:hint="eastAsia" w:ascii="仿宋" w:hAnsi="仿宋" w:cs="仿宋_GB2312"/>
                <w:kern w:val="0"/>
                <w:szCs w:val="21"/>
              </w:rPr>
              <w:t>页</w:t>
            </w:r>
          </w:p>
        </w:tc>
      </w:tr>
      <w:tr w14:paraId="5536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534" w:type="dxa"/>
            <w:vMerge w:val="continue"/>
            <w:vAlign w:val="center"/>
          </w:tcPr>
          <w:p w14:paraId="554EC0EA">
            <w:pPr>
              <w:adjustRightInd w:val="0"/>
              <w:snapToGrid w:val="0"/>
              <w:contextualSpacing/>
              <w:rPr>
                <w:rFonts w:ascii="宋体" w:cs="黑体"/>
                <w:b/>
                <w:szCs w:val="21"/>
              </w:rPr>
            </w:pPr>
          </w:p>
        </w:tc>
        <w:tc>
          <w:tcPr>
            <w:tcW w:w="2693" w:type="dxa"/>
            <w:vAlign w:val="center"/>
          </w:tcPr>
          <w:p w14:paraId="7F803019">
            <w:pPr>
              <w:adjustRightInd w:val="0"/>
              <w:snapToGrid w:val="0"/>
              <w:ind w:firstLine="420" w:firstLineChars="200"/>
              <w:contextualSpacing/>
              <w:rPr>
                <w:rFonts w:ascii="仿宋" w:eastAsia="仿宋" w:cs="仿宋"/>
                <w:szCs w:val="21"/>
              </w:rPr>
            </w:pPr>
            <w:r>
              <w:rPr>
                <w:rFonts w:ascii="仿宋" w:hAnsi="仿宋" w:cs="仿宋"/>
                <w:szCs w:val="21"/>
              </w:rPr>
              <w:t>8</w:t>
            </w:r>
            <w:r>
              <w:rPr>
                <w:rFonts w:hint="eastAsia" w:ascii="仿宋" w:hAnsi="仿宋" w:cs="仿宋"/>
                <w:szCs w:val="21"/>
              </w:rPr>
              <w:t>、校车必须按照国家有关规定进行机动车安全技术性能检测，校车应当每半年进行一次机动车安全技术检验；</w:t>
            </w:r>
          </w:p>
        </w:tc>
        <w:tc>
          <w:tcPr>
            <w:tcW w:w="2693" w:type="dxa"/>
            <w:vAlign w:val="center"/>
          </w:tcPr>
          <w:p w14:paraId="35D4649C">
            <w:pPr>
              <w:adjustRightInd w:val="0"/>
              <w:snapToGrid w:val="0"/>
              <w:ind w:firstLine="420" w:firstLineChars="200"/>
              <w:contextualSpacing/>
              <w:rPr>
                <w:rFonts w:ascii="仿宋" w:eastAsia="仿宋" w:cs="仿宋"/>
                <w:szCs w:val="21"/>
              </w:rPr>
            </w:pPr>
            <w:r>
              <w:rPr>
                <w:rFonts w:ascii="仿宋" w:hAnsi="仿宋" w:cs="仿宋"/>
                <w:szCs w:val="21"/>
              </w:rPr>
              <w:t>8</w:t>
            </w:r>
            <w:r>
              <w:rPr>
                <w:rFonts w:hint="eastAsia" w:ascii="仿宋" w:hAnsi="仿宋" w:cs="仿宋"/>
                <w:szCs w:val="21"/>
              </w:rPr>
              <w:t>、校车按照国家有关规定进行机动车安全技术性能检测，每半年进行一次机动车安全技术检验；</w:t>
            </w:r>
          </w:p>
        </w:tc>
        <w:tc>
          <w:tcPr>
            <w:tcW w:w="425" w:type="dxa"/>
            <w:vAlign w:val="center"/>
          </w:tcPr>
          <w:p w14:paraId="3914FBB3">
            <w:pPr>
              <w:jc w:val="center"/>
            </w:pPr>
            <w:r>
              <w:rPr>
                <w:rFonts w:hint="eastAsia" w:ascii="仿宋" w:hAnsi="仿宋" w:cs="仿宋_GB2312"/>
                <w:kern w:val="0"/>
                <w:szCs w:val="21"/>
              </w:rPr>
              <w:t>无偏离</w:t>
            </w:r>
          </w:p>
        </w:tc>
        <w:tc>
          <w:tcPr>
            <w:tcW w:w="709" w:type="dxa"/>
            <w:vAlign w:val="center"/>
          </w:tcPr>
          <w:p w14:paraId="7DCBBD6D">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Align w:val="center"/>
          </w:tcPr>
          <w:p w14:paraId="478CEA19">
            <w:pPr>
              <w:tabs>
                <w:tab w:val="left" w:pos="-75"/>
              </w:tabs>
              <w:snapToGrid w:val="0"/>
              <w:ind w:right="-57" w:rightChars="-27"/>
              <w:contextualSpacing/>
              <w:jc w:val="left"/>
              <w:rPr>
                <w:rFonts w:ascii="仿宋" w:eastAsia="仿宋" w:cs="仿宋_GB2312"/>
                <w:kern w:val="0"/>
                <w:szCs w:val="21"/>
              </w:rPr>
            </w:pPr>
            <w:r>
              <w:rPr>
                <w:rFonts w:hint="eastAsia" w:ascii="仿宋" w:hAnsi="仿宋" w:cs="仿宋_GB2312"/>
                <w:kern w:val="0"/>
                <w:szCs w:val="21"/>
              </w:rPr>
              <w:t>车辆检验见行车执照车辆检</w:t>
            </w:r>
            <w:r>
              <w:rPr>
                <w:rFonts w:ascii="仿宋" w:hAnsi="仿宋" w:cs="仿宋_GB2312"/>
                <w:kern w:val="0"/>
                <w:szCs w:val="21"/>
              </w:rPr>
              <w:t>260</w:t>
            </w:r>
            <w:r>
              <w:rPr>
                <w:rFonts w:hint="eastAsia" w:ascii="仿宋" w:hAnsi="仿宋" w:cs="仿宋_GB2312"/>
                <w:kern w:val="0"/>
                <w:szCs w:val="21"/>
              </w:rPr>
              <w:t>页</w:t>
            </w:r>
          </w:p>
        </w:tc>
      </w:tr>
      <w:tr w14:paraId="5C82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534" w:type="dxa"/>
            <w:vMerge w:val="continue"/>
            <w:vAlign w:val="center"/>
          </w:tcPr>
          <w:p w14:paraId="5EF6F702">
            <w:pPr>
              <w:adjustRightInd w:val="0"/>
              <w:snapToGrid w:val="0"/>
              <w:contextualSpacing/>
              <w:rPr>
                <w:rFonts w:ascii="宋体" w:cs="黑体"/>
                <w:b/>
                <w:szCs w:val="21"/>
              </w:rPr>
            </w:pPr>
          </w:p>
        </w:tc>
        <w:tc>
          <w:tcPr>
            <w:tcW w:w="2693" w:type="dxa"/>
            <w:vAlign w:val="center"/>
          </w:tcPr>
          <w:p w14:paraId="11B0CEF7">
            <w:pPr>
              <w:adjustRightInd w:val="0"/>
              <w:snapToGrid w:val="0"/>
              <w:ind w:firstLine="420" w:firstLineChars="200"/>
              <w:contextualSpacing/>
              <w:rPr>
                <w:rFonts w:ascii="仿宋" w:eastAsia="仿宋" w:cs="仿宋"/>
                <w:szCs w:val="21"/>
              </w:rPr>
            </w:pPr>
            <w:r>
              <w:rPr>
                <w:rFonts w:ascii="仿宋" w:hAnsi="仿宋" w:cs="仿宋"/>
                <w:szCs w:val="21"/>
              </w:rPr>
              <w:t>9</w:t>
            </w:r>
            <w:r>
              <w:rPr>
                <w:rFonts w:hint="eastAsia" w:ascii="仿宋" w:hAnsi="仿宋" w:cs="仿宋"/>
                <w:szCs w:val="21"/>
              </w:rPr>
              <w:t>、校车应当配备逃生锤、干粉灭火器、急救箱等安全设备；安全设备应当放置在便于取用的位置，并确保性能良好、有效适用；</w:t>
            </w:r>
          </w:p>
        </w:tc>
        <w:tc>
          <w:tcPr>
            <w:tcW w:w="2693" w:type="dxa"/>
            <w:vAlign w:val="center"/>
          </w:tcPr>
          <w:p w14:paraId="441104D5">
            <w:pPr>
              <w:adjustRightInd w:val="0"/>
              <w:snapToGrid w:val="0"/>
              <w:ind w:firstLine="420" w:firstLineChars="200"/>
              <w:contextualSpacing/>
              <w:rPr>
                <w:rFonts w:ascii="仿宋" w:eastAsia="仿宋" w:cs="仿宋"/>
                <w:szCs w:val="21"/>
              </w:rPr>
            </w:pPr>
            <w:r>
              <w:rPr>
                <w:rFonts w:ascii="仿宋" w:hAnsi="仿宋" w:cs="仿宋"/>
                <w:szCs w:val="21"/>
              </w:rPr>
              <w:t>9</w:t>
            </w:r>
            <w:r>
              <w:rPr>
                <w:rFonts w:hint="eastAsia" w:ascii="仿宋" w:hAnsi="仿宋" w:cs="仿宋"/>
                <w:szCs w:val="21"/>
              </w:rPr>
              <w:t>、校车配备逃生锤、干粉灭火器、急救箱等安全设备；安全设备放置在便于取用的位置，并确保性能良好、有效适用；</w:t>
            </w:r>
          </w:p>
        </w:tc>
        <w:tc>
          <w:tcPr>
            <w:tcW w:w="425" w:type="dxa"/>
            <w:vAlign w:val="center"/>
          </w:tcPr>
          <w:p w14:paraId="0695B39E">
            <w:pPr>
              <w:jc w:val="center"/>
            </w:pPr>
            <w:r>
              <w:rPr>
                <w:rFonts w:hint="eastAsia" w:ascii="仿宋" w:hAnsi="仿宋" w:cs="仿宋_GB2312"/>
                <w:kern w:val="0"/>
                <w:szCs w:val="21"/>
              </w:rPr>
              <w:t>无偏离</w:t>
            </w:r>
          </w:p>
        </w:tc>
        <w:tc>
          <w:tcPr>
            <w:tcW w:w="709" w:type="dxa"/>
            <w:vAlign w:val="center"/>
          </w:tcPr>
          <w:p w14:paraId="58CC7E51">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Align w:val="center"/>
          </w:tcPr>
          <w:p w14:paraId="345B949C">
            <w:pPr>
              <w:tabs>
                <w:tab w:val="left" w:pos="-75"/>
              </w:tabs>
              <w:snapToGrid w:val="0"/>
              <w:ind w:right="-57" w:rightChars="-27"/>
              <w:contextualSpacing/>
              <w:jc w:val="left"/>
              <w:rPr>
                <w:rFonts w:ascii="仿宋" w:eastAsia="仿宋" w:cs="仿宋_GB2312"/>
                <w:kern w:val="0"/>
                <w:szCs w:val="21"/>
              </w:rPr>
            </w:pPr>
          </w:p>
        </w:tc>
      </w:tr>
      <w:tr w14:paraId="22EB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534" w:type="dxa"/>
            <w:vMerge w:val="continue"/>
            <w:vAlign w:val="center"/>
          </w:tcPr>
          <w:p w14:paraId="27F5B916">
            <w:pPr>
              <w:adjustRightInd w:val="0"/>
              <w:snapToGrid w:val="0"/>
              <w:contextualSpacing/>
              <w:rPr>
                <w:rFonts w:ascii="宋体" w:cs="黑体"/>
                <w:b/>
                <w:szCs w:val="21"/>
              </w:rPr>
            </w:pPr>
          </w:p>
        </w:tc>
        <w:tc>
          <w:tcPr>
            <w:tcW w:w="2693" w:type="dxa"/>
            <w:vAlign w:val="center"/>
          </w:tcPr>
          <w:p w14:paraId="289D8C49">
            <w:pPr>
              <w:adjustRightInd w:val="0"/>
              <w:snapToGrid w:val="0"/>
              <w:ind w:firstLine="420" w:firstLineChars="200"/>
              <w:contextualSpacing/>
              <w:rPr>
                <w:rFonts w:ascii="仿宋" w:eastAsia="仿宋" w:cs="仿宋"/>
                <w:szCs w:val="21"/>
              </w:rPr>
            </w:pPr>
            <w:r>
              <w:rPr>
                <w:rFonts w:ascii="仿宋" w:hAnsi="仿宋" w:cs="仿宋"/>
                <w:szCs w:val="21"/>
              </w:rPr>
              <w:t>10</w:t>
            </w:r>
            <w:r>
              <w:rPr>
                <w:rFonts w:hint="eastAsia" w:ascii="仿宋" w:hAnsi="仿宋" w:cs="仿宋"/>
                <w:szCs w:val="21"/>
              </w:rPr>
              <w:t>、校车应当按照规定配备具有行驶记录、声音影像传输、轨迹回放等功能的监控终端设备。</w:t>
            </w:r>
          </w:p>
        </w:tc>
        <w:tc>
          <w:tcPr>
            <w:tcW w:w="2693" w:type="dxa"/>
            <w:vAlign w:val="center"/>
          </w:tcPr>
          <w:p w14:paraId="43F8C4D3">
            <w:pPr>
              <w:adjustRightInd w:val="0"/>
              <w:snapToGrid w:val="0"/>
              <w:ind w:firstLine="420" w:firstLineChars="200"/>
              <w:contextualSpacing/>
              <w:rPr>
                <w:rFonts w:ascii="仿宋" w:eastAsia="仿宋" w:cs="仿宋"/>
                <w:szCs w:val="21"/>
              </w:rPr>
            </w:pPr>
            <w:r>
              <w:rPr>
                <w:rFonts w:ascii="仿宋" w:hAnsi="仿宋" w:cs="仿宋"/>
                <w:szCs w:val="21"/>
              </w:rPr>
              <w:t>10</w:t>
            </w:r>
            <w:r>
              <w:rPr>
                <w:rFonts w:hint="eastAsia" w:ascii="仿宋" w:hAnsi="仿宋" w:cs="仿宋"/>
                <w:szCs w:val="21"/>
              </w:rPr>
              <w:t>、校车按照规定配备具有行驶记录、声音影像传输、轨迹回放等功能的监控终端设备。</w:t>
            </w:r>
          </w:p>
        </w:tc>
        <w:tc>
          <w:tcPr>
            <w:tcW w:w="425" w:type="dxa"/>
            <w:vAlign w:val="center"/>
          </w:tcPr>
          <w:p w14:paraId="3CB676F4">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Align w:val="center"/>
          </w:tcPr>
          <w:p w14:paraId="04A17261">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Align w:val="center"/>
          </w:tcPr>
          <w:p w14:paraId="6B15A23F">
            <w:pPr>
              <w:tabs>
                <w:tab w:val="left" w:pos="-75"/>
              </w:tabs>
              <w:snapToGrid w:val="0"/>
              <w:ind w:right="-57" w:rightChars="-27"/>
              <w:contextualSpacing/>
              <w:jc w:val="left"/>
              <w:rPr>
                <w:rFonts w:ascii="仿宋" w:eastAsia="仿宋" w:cs="仿宋_GB2312"/>
                <w:kern w:val="0"/>
                <w:szCs w:val="21"/>
              </w:rPr>
            </w:pPr>
            <w:r>
              <w:rPr>
                <w:rFonts w:hint="eastAsia" w:ascii="仿宋" w:hAnsi="仿宋" w:cs="仿宋_GB2312"/>
                <w:kern w:val="0"/>
                <w:szCs w:val="21"/>
              </w:rPr>
              <w:t>车辆监控平台见</w:t>
            </w:r>
            <w:r>
              <w:rPr>
                <w:rFonts w:ascii="仿宋" w:hAnsi="仿宋" w:cs="仿宋_GB2312"/>
                <w:kern w:val="0"/>
                <w:szCs w:val="21"/>
              </w:rPr>
              <w:t>116</w:t>
            </w:r>
            <w:r>
              <w:rPr>
                <w:rFonts w:hint="eastAsia" w:ascii="仿宋" w:hAnsi="仿宋" w:cs="仿宋_GB2312"/>
                <w:kern w:val="0"/>
                <w:szCs w:val="21"/>
              </w:rPr>
              <w:t>页至</w:t>
            </w:r>
            <w:r>
              <w:rPr>
                <w:rFonts w:ascii="仿宋" w:hAnsi="仿宋" w:cs="仿宋_GB2312"/>
                <w:kern w:val="0"/>
                <w:szCs w:val="21"/>
              </w:rPr>
              <w:t>118</w:t>
            </w:r>
            <w:r>
              <w:rPr>
                <w:rFonts w:hint="eastAsia" w:ascii="仿宋" w:hAnsi="仿宋" w:cs="仿宋_GB2312"/>
                <w:kern w:val="0"/>
                <w:szCs w:val="21"/>
              </w:rPr>
              <w:t>页</w:t>
            </w:r>
          </w:p>
        </w:tc>
      </w:tr>
      <w:tr w14:paraId="5B66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534" w:type="dxa"/>
            <w:vMerge w:val="restart"/>
            <w:vAlign w:val="center"/>
          </w:tcPr>
          <w:p w14:paraId="7A1D6538">
            <w:pPr>
              <w:adjustRightInd w:val="0"/>
              <w:snapToGrid w:val="0"/>
              <w:contextualSpacing/>
              <w:rPr>
                <w:rFonts w:ascii="宋体" w:cs="黑体"/>
                <w:b/>
                <w:szCs w:val="21"/>
              </w:rPr>
            </w:pPr>
            <w:r>
              <w:rPr>
                <w:rFonts w:hint="eastAsia" w:ascii="宋体" w:hAnsi="宋体" w:cs="黑体"/>
                <w:b/>
                <w:szCs w:val="21"/>
              </w:rPr>
              <w:t>四、驾驶人员标准要求：</w:t>
            </w:r>
          </w:p>
          <w:p w14:paraId="54F083A2">
            <w:pPr>
              <w:adjustRightInd w:val="0"/>
              <w:snapToGrid w:val="0"/>
              <w:contextualSpacing/>
              <w:rPr>
                <w:rFonts w:ascii="黑体" w:hAnsi="黑体" w:eastAsia="黑体" w:cs="黑体"/>
                <w:b/>
                <w:szCs w:val="21"/>
              </w:rPr>
            </w:pPr>
          </w:p>
          <w:p w14:paraId="709AAB45">
            <w:pPr>
              <w:adjustRightInd w:val="0"/>
              <w:snapToGrid w:val="0"/>
              <w:contextualSpacing/>
              <w:rPr>
                <w:rFonts w:ascii="黑体" w:hAnsi="黑体" w:eastAsia="黑体" w:cs="黑体"/>
                <w:b/>
                <w:szCs w:val="21"/>
              </w:rPr>
            </w:pPr>
          </w:p>
          <w:p w14:paraId="2FA3845F">
            <w:pPr>
              <w:adjustRightInd w:val="0"/>
              <w:snapToGrid w:val="0"/>
              <w:contextualSpacing/>
              <w:rPr>
                <w:rFonts w:ascii="黑体" w:hAnsi="黑体" w:eastAsia="黑体" w:cs="黑体"/>
                <w:b/>
                <w:szCs w:val="21"/>
              </w:rPr>
            </w:pPr>
          </w:p>
          <w:p w14:paraId="11F30900">
            <w:pPr>
              <w:adjustRightInd w:val="0"/>
              <w:snapToGrid w:val="0"/>
              <w:contextualSpacing/>
              <w:rPr>
                <w:rFonts w:ascii="黑体" w:hAnsi="黑体" w:eastAsia="黑体" w:cs="黑体"/>
                <w:b/>
                <w:szCs w:val="21"/>
              </w:rPr>
            </w:pPr>
          </w:p>
          <w:p w14:paraId="7A7883C2">
            <w:pPr>
              <w:adjustRightInd w:val="0"/>
              <w:snapToGrid w:val="0"/>
              <w:contextualSpacing/>
              <w:rPr>
                <w:rFonts w:ascii="黑体" w:hAnsi="黑体" w:eastAsia="黑体" w:cs="黑体"/>
                <w:b/>
                <w:szCs w:val="21"/>
              </w:rPr>
            </w:pPr>
          </w:p>
        </w:tc>
        <w:tc>
          <w:tcPr>
            <w:tcW w:w="2693" w:type="dxa"/>
            <w:vAlign w:val="center"/>
          </w:tcPr>
          <w:p w14:paraId="5FB4A54D">
            <w:pPr>
              <w:adjustRightInd w:val="0"/>
              <w:snapToGrid w:val="0"/>
              <w:ind w:firstLine="420" w:firstLineChars="200"/>
              <w:contextualSpacing/>
              <w:rPr>
                <w:rFonts w:ascii="仿宋" w:eastAsia="仿宋" w:cs="仿宋"/>
                <w:szCs w:val="21"/>
              </w:rPr>
            </w:pPr>
            <w:r>
              <w:rPr>
                <w:rFonts w:ascii="仿宋" w:hAnsi="仿宋" w:cs="仿宋"/>
                <w:szCs w:val="21"/>
              </w:rPr>
              <w:t>1</w:t>
            </w:r>
            <w:r>
              <w:rPr>
                <w:rFonts w:hint="eastAsia" w:ascii="仿宋" w:hAnsi="仿宋" w:cs="仿宋"/>
                <w:szCs w:val="21"/>
              </w:rPr>
              <w:t>、取得相应准驾车型驾驶证并且有</w:t>
            </w:r>
            <w:r>
              <w:rPr>
                <w:rFonts w:ascii="仿宋" w:hAnsi="仿宋" w:cs="仿宋"/>
                <w:szCs w:val="21"/>
              </w:rPr>
              <w:t>3</w:t>
            </w:r>
            <w:r>
              <w:rPr>
                <w:rFonts w:hint="eastAsia" w:ascii="仿宋" w:hAnsi="仿宋" w:cs="仿宋"/>
                <w:szCs w:val="21"/>
              </w:rPr>
              <w:t>年以上驾驶经历，年龄在</w:t>
            </w:r>
            <w:r>
              <w:rPr>
                <w:rFonts w:ascii="仿宋" w:hAnsi="仿宋" w:cs="仿宋"/>
                <w:szCs w:val="21"/>
              </w:rPr>
              <w:t>25</w:t>
            </w:r>
            <w:r>
              <w:rPr>
                <w:rFonts w:hint="eastAsia" w:ascii="仿宋" w:hAnsi="仿宋" w:cs="仿宋"/>
                <w:szCs w:val="21"/>
              </w:rPr>
              <w:t>周岁以上，不超过</w:t>
            </w:r>
            <w:r>
              <w:rPr>
                <w:rFonts w:ascii="仿宋" w:hAnsi="仿宋" w:cs="仿宋"/>
                <w:szCs w:val="21"/>
              </w:rPr>
              <w:t>60</w:t>
            </w:r>
            <w:r>
              <w:rPr>
                <w:rFonts w:hint="eastAsia" w:ascii="仿宋" w:hAnsi="仿宋" w:cs="仿宋"/>
                <w:szCs w:val="21"/>
              </w:rPr>
              <w:t>周岁；</w:t>
            </w:r>
          </w:p>
        </w:tc>
        <w:tc>
          <w:tcPr>
            <w:tcW w:w="2693" w:type="dxa"/>
            <w:vAlign w:val="center"/>
          </w:tcPr>
          <w:p w14:paraId="01AB9C34">
            <w:pPr>
              <w:adjustRightInd w:val="0"/>
              <w:snapToGrid w:val="0"/>
              <w:ind w:firstLine="420" w:firstLineChars="200"/>
              <w:contextualSpacing/>
              <w:rPr>
                <w:rFonts w:ascii="仿宋" w:eastAsia="仿宋" w:cs="仿宋"/>
                <w:szCs w:val="21"/>
              </w:rPr>
            </w:pPr>
            <w:r>
              <w:rPr>
                <w:rFonts w:ascii="仿宋" w:hAnsi="仿宋" w:cs="仿宋"/>
                <w:szCs w:val="21"/>
              </w:rPr>
              <w:t>1</w:t>
            </w:r>
            <w:r>
              <w:rPr>
                <w:rFonts w:hint="eastAsia" w:ascii="仿宋" w:hAnsi="仿宋" w:cs="仿宋"/>
                <w:szCs w:val="21"/>
              </w:rPr>
              <w:t>、取得相应准驾车型驾驶证并且有</w:t>
            </w:r>
            <w:r>
              <w:rPr>
                <w:rFonts w:ascii="仿宋" w:hAnsi="仿宋" w:cs="仿宋"/>
                <w:szCs w:val="21"/>
              </w:rPr>
              <w:t>3</w:t>
            </w:r>
            <w:r>
              <w:rPr>
                <w:rFonts w:hint="eastAsia" w:ascii="仿宋" w:hAnsi="仿宋" w:cs="仿宋"/>
                <w:szCs w:val="21"/>
              </w:rPr>
              <w:t>年以上驾驶经历，年龄在</w:t>
            </w:r>
            <w:r>
              <w:rPr>
                <w:rFonts w:ascii="仿宋" w:hAnsi="仿宋" w:cs="仿宋"/>
                <w:szCs w:val="21"/>
              </w:rPr>
              <w:t>25</w:t>
            </w:r>
            <w:r>
              <w:rPr>
                <w:rFonts w:hint="eastAsia" w:ascii="仿宋" w:hAnsi="仿宋" w:cs="仿宋"/>
                <w:szCs w:val="21"/>
              </w:rPr>
              <w:t>周岁以上，不超过</w:t>
            </w:r>
            <w:r>
              <w:rPr>
                <w:rFonts w:ascii="仿宋" w:hAnsi="仿宋" w:cs="仿宋"/>
                <w:szCs w:val="21"/>
              </w:rPr>
              <w:t>60</w:t>
            </w:r>
            <w:r>
              <w:rPr>
                <w:rFonts w:hint="eastAsia" w:ascii="仿宋" w:hAnsi="仿宋" w:cs="仿宋"/>
                <w:szCs w:val="21"/>
              </w:rPr>
              <w:t>周岁；</w:t>
            </w:r>
          </w:p>
        </w:tc>
        <w:tc>
          <w:tcPr>
            <w:tcW w:w="425" w:type="dxa"/>
            <w:vAlign w:val="center"/>
          </w:tcPr>
          <w:p w14:paraId="67C89EB7">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Align w:val="center"/>
          </w:tcPr>
          <w:p w14:paraId="36A348D9">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Merge w:val="restart"/>
            <w:vAlign w:val="center"/>
          </w:tcPr>
          <w:p w14:paraId="3814D3B1">
            <w:pPr>
              <w:tabs>
                <w:tab w:val="left" w:pos="-75"/>
              </w:tabs>
              <w:snapToGrid w:val="0"/>
              <w:ind w:right="-57" w:rightChars="-27"/>
              <w:contextualSpacing/>
              <w:jc w:val="center"/>
              <w:rPr>
                <w:rFonts w:ascii="宋体" w:cs="宋体"/>
                <w:color w:val="000000"/>
                <w:kern w:val="0"/>
                <w:sz w:val="18"/>
                <w:szCs w:val="18"/>
              </w:rPr>
            </w:pPr>
            <w:r>
              <w:rPr>
                <w:rFonts w:hint="eastAsia" w:ascii="仿宋" w:hAnsi="仿宋" w:cs="仿宋_GB2312"/>
                <w:kern w:val="0"/>
                <w:szCs w:val="21"/>
              </w:rPr>
              <w:t>司机驾驶证见</w:t>
            </w:r>
            <w:r>
              <w:rPr>
                <w:rFonts w:ascii="仿宋" w:hAnsi="仿宋" w:cs="仿宋_GB2312"/>
                <w:kern w:val="0"/>
                <w:szCs w:val="21"/>
              </w:rPr>
              <w:t>333</w:t>
            </w:r>
            <w:r>
              <w:rPr>
                <w:rFonts w:hint="eastAsia" w:ascii="仿宋" w:hAnsi="仿宋" w:cs="仿宋_GB2312"/>
                <w:kern w:val="0"/>
                <w:szCs w:val="21"/>
              </w:rPr>
              <w:t>页至</w:t>
            </w:r>
            <w:r>
              <w:rPr>
                <w:rFonts w:ascii="仿宋" w:hAnsi="仿宋" w:cs="仿宋_GB2312"/>
                <w:kern w:val="0"/>
                <w:szCs w:val="21"/>
              </w:rPr>
              <w:t>357</w:t>
            </w:r>
            <w:r>
              <w:rPr>
                <w:rFonts w:hint="eastAsia" w:ascii="仿宋" w:hAnsi="仿宋" w:cs="仿宋_GB2312"/>
                <w:kern w:val="0"/>
                <w:szCs w:val="21"/>
              </w:rPr>
              <w:t>页</w:t>
            </w:r>
          </w:p>
        </w:tc>
      </w:tr>
      <w:tr w14:paraId="3419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534" w:type="dxa"/>
            <w:vMerge w:val="continue"/>
            <w:vAlign w:val="center"/>
          </w:tcPr>
          <w:p w14:paraId="16AA8040">
            <w:pPr>
              <w:adjustRightInd w:val="0"/>
              <w:snapToGrid w:val="0"/>
              <w:contextualSpacing/>
              <w:rPr>
                <w:rFonts w:ascii="宋体" w:cs="黑体"/>
                <w:b/>
                <w:szCs w:val="21"/>
              </w:rPr>
            </w:pPr>
          </w:p>
        </w:tc>
        <w:tc>
          <w:tcPr>
            <w:tcW w:w="2693" w:type="dxa"/>
            <w:vAlign w:val="center"/>
          </w:tcPr>
          <w:p w14:paraId="11F14C9D">
            <w:pPr>
              <w:adjustRightInd w:val="0"/>
              <w:snapToGrid w:val="0"/>
              <w:ind w:firstLine="420" w:firstLineChars="200"/>
              <w:contextualSpacing/>
              <w:rPr>
                <w:rFonts w:ascii="仿宋" w:eastAsia="仿宋" w:cs="仿宋"/>
                <w:szCs w:val="21"/>
              </w:rPr>
            </w:pPr>
            <w:r>
              <w:rPr>
                <w:rFonts w:ascii="仿宋" w:hAnsi="仿宋" w:cs="仿宋"/>
                <w:szCs w:val="21"/>
              </w:rPr>
              <w:t>2</w:t>
            </w:r>
            <w:r>
              <w:rPr>
                <w:rFonts w:hint="eastAsia" w:ascii="仿宋" w:hAnsi="仿宋" w:cs="仿宋"/>
                <w:szCs w:val="21"/>
              </w:rPr>
              <w:t>、取得的机动车驾驶证应具有准许驾驶校车的备案；</w:t>
            </w:r>
          </w:p>
        </w:tc>
        <w:tc>
          <w:tcPr>
            <w:tcW w:w="2693" w:type="dxa"/>
            <w:vAlign w:val="center"/>
          </w:tcPr>
          <w:p w14:paraId="734A5B12">
            <w:pPr>
              <w:adjustRightInd w:val="0"/>
              <w:snapToGrid w:val="0"/>
              <w:ind w:firstLine="420" w:firstLineChars="200"/>
              <w:contextualSpacing/>
              <w:rPr>
                <w:rFonts w:ascii="仿宋" w:eastAsia="仿宋" w:cs="仿宋"/>
                <w:szCs w:val="21"/>
              </w:rPr>
            </w:pPr>
            <w:r>
              <w:rPr>
                <w:rFonts w:ascii="仿宋" w:hAnsi="仿宋" w:cs="仿宋"/>
                <w:szCs w:val="21"/>
              </w:rPr>
              <w:t>2</w:t>
            </w:r>
            <w:r>
              <w:rPr>
                <w:rFonts w:hint="eastAsia" w:ascii="仿宋" w:hAnsi="仿宋" w:cs="仿宋"/>
                <w:szCs w:val="21"/>
              </w:rPr>
              <w:t>、取得的机动车驾驶证应具有准许驾驶校车的备案；</w:t>
            </w:r>
          </w:p>
        </w:tc>
        <w:tc>
          <w:tcPr>
            <w:tcW w:w="425" w:type="dxa"/>
            <w:vAlign w:val="center"/>
          </w:tcPr>
          <w:p w14:paraId="5FF8C63E">
            <w:pPr>
              <w:jc w:val="center"/>
            </w:pPr>
            <w:r>
              <w:rPr>
                <w:rFonts w:hint="eastAsia" w:ascii="仿宋" w:hAnsi="仿宋" w:cs="仿宋_GB2312"/>
                <w:kern w:val="0"/>
                <w:szCs w:val="21"/>
              </w:rPr>
              <w:t>无偏离</w:t>
            </w:r>
          </w:p>
        </w:tc>
        <w:tc>
          <w:tcPr>
            <w:tcW w:w="709" w:type="dxa"/>
            <w:vAlign w:val="center"/>
          </w:tcPr>
          <w:p w14:paraId="5EF8014C">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Merge w:val="continue"/>
            <w:vAlign w:val="center"/>
          </w:tcPr>
          <w:p w14:paraId="76D655EE">
            <w:pPr>
              <w:tabs>
                <w:tab w:val="left" w:pos="-75"/>
              </w:tabs>
              <w:snapToGrid w:val="0"/>
              <w:ind w:right="-57" w:rightChars="-27"/>
              <w:contextualSpacing/>
              <w:jc w:val="center"/>
              <w:rPr>
                <w:rFonts w:ascii="仿宋" w:eastAsia="仿宋" w:cs="仿宋_GB2312"/>
                <w:kern w:val="0"/>
                <w:szCs w:val="21"/>
              </w:rPr>
            </w:pPr>
          </w:p>
        </w:tc>
      </w:tr>
      <w:tr w14:paraId="5E8A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534" w:type="dxa"/>
            <w:vMerge w:val="continue"/>
            <w:vAlign w:val="center"/>
          </w:tcPr>
          <w:p w14:paraId="03DDBDBB">
            <w:pPr>
              <w:adjustRightInd w:val="0"/>
              <w:snapToGrid w:val="0"/>
              <w:contextualSpacing/>
              <w:rPr>
                <w:rFonts w:ascii="宋体" w:cs="黑体"/>
                <w:b/>
                <w:szCs w:val="21"/>
              </w:rPr>
            </w:pPr>
          </w:p>
        </w:tc>
        <w:tc>
          <w:tcPr>
            <w:tcW w:w="2693" w:type="dxa"/>
            <w:vAlign w:val="center"/>
          </w:tcPr>
          <w:p w14:paraId="1AFFF4B2">
            <w:pPr>
              <w:adjustRightInd w:val="0"/>
              <w:snapToGrid w:val="0"/>
              <w:ind w:firstLine="420" w:firstLineChars="200"/>
              <w:contextualSpacing/>
              <w:rPr>
                <w:rFonts w:ascii="仿宋" w:eastAsia="仿宋" w:cs="仿宋"/>
                <w:szCs w:val="21"/>
              </w:rPr>
            </w:pPr>
            <w:r>
              <w:rPr>
                <w:rFonts w:ascii="仿宋" w:hAnsi="仿宋" w:cs="仿宋"/>
                <w:szCs w:val="21"/>
              </w:rPr>
              <w:t>3</w:t>
            </w:r>
            <w:r>
              <w:rPr>
                <w:rFonts w:hint="eastAsia" w:ascii="仿宋" w:hAnsi="仿宋" w:cs="仿宋"/>
                <w:szCs w:val="21"/>
              </w:rPr>
              <w:t>、最近连续</w:t>
            </w:r>
            <w:r>
              <w:rPr>
                <w:rFonts w:ascii="仿宋" w:hAnsi="仿宋" w:cs="仿宋"/>
                <w:szCs w:val="21"/>
              </w:rPr>
              <w:t>3</w:t>
            </w:r>
            <w:r>
              <w:rPr>
                <w:rFonts w:hint="eastAsia" w:ascii="仿宋" w:hAnsi="仿宋" w:cs="仿宋"/>
                <w:szCs w:val="21"/>
              </w:rPr>
              <w:t>个记分周期内没有被记满分记录；</w:t>
            </w:r>
          </w:p>
        </w:tc>
        <w:tc>
          <w:tcPr>
            <w:tcW w:w="2693" w:type="dxa"/>
            <w:vAlign w:val="center"/>
          </w:tcPr>
          <w:p w14:paraId="2B76837C">
            <w:pPr>
              <w:adjustRightInd w:val="0"/>
              <w:snapToGrid w:val="0"/>
              <w:ind w:firstLine="420" w:firstLineChars="200"/>
              <w:contextualSpacing/>
              <w:rPr>
                <w:rFonts w:ascii="仿宋" w:eastAsia="仿宋" w:cs="仿宋"/>
                <w:szCs w:val="21"/>
              </w:rPr>
            </w:pPr>
            <w:r>
              <w:rPr>
                <w:rFonts w:ascii="仿宋" w:hAnsi="仿宋" w:cs="仿宋"/>
                <w:szCs w:val="21"/>
              </w:rPr>
              <w:t>3</w:t>
            </w:r>
            <w:r>
              <w:rPr>
                <w:rFonts w:hint="eastAsia" w:ascii="仿宋" w:hAnsi="仿宋" w:cs="仿宋"/>
                <w:szCs w:val="21"/>
              </w:rPr>
              <w:t>、最近连续</w:t>
            </w:r>
            <w:r>
              <w:rPr>
                <w:rFonts w:ascii="仿宋" w:hAnsi="仿宋" w:cs="仿宋"/>
                <w:szCs w:val="21"/>
              </w:rPr>
              <w:t>3</w:t>
            </w:r>
            <w:r>
              <w:rPr>
                <w:rFonts w:hint="eastAsia" w:ascii="仿宋" w:hAnsi="仿宋" w:cs="仿宋"/>
                <w:szCs w:val="21"/>
              </w:rPr>
              <w:t>个记分周期内没有被记满分记录；</w:t>
            </w:r>
          </w:p>
        </w:tc>
        <w:tc>
          <w:tcPr>
            <w:tcW w:w="425" w:type="dxa"/>
            <w:vAlign w:val="center"/>
          </w:tcPr>
          <w:p w14:paraId="1A09E7B2">
            <w:pPr>
              <w:jc w:val="center"/>
            </w:pPr>
            <w:r>
              <w:rPr>
                <w:rFonts w:hint="eastAsia" w:ascii="仿宋" w:hAnsi="仿宋" w:cs="仿宋_GB2312"/>
                <w:kern w:val="0"/>
                <w:szCs w:val="21"/>
              </w:rPr>
              <w:t>无偏离</w:t>
            </w:r>
          </w:p>
        </w:tc>
        <w:tc>
          <w:tcPr>
            <w:tcW w:w="709" w:type="dxa"/>
            <w:vAlign w:val="center"/>
          </w:tcPr>
          <w:p w14:paraId="511BD443">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Merge w:val="continue"/>
            <w:vAlign w:val="center"/>
          </w:tcPr>
          <w:p w14:paraId="766C3D29">
            <w:pPr>
              <w:tabs>
                <w:tab w:val="left" w:pos="-75"/>
              </w:tabs>
              <w:snapToGrid w:val="0"/>
              <w:ind w:right="-57" w:rightChars="-27"/>
              <w:contextualSpacing/>
              <w:jc w:val="center"/>
              <w:rPr>
                <w:rFonts w:ascii="仿宋" w:eastAsia="仿宋" w:cs="仿宋_GB2312"/>
                <w:kern w:val="0"/>
                <w:szCs w:val="21"/>
              </w:rPr>
            </w:pPr>
          </w:p>
        </w:tc>
      </w:tr>
      <w:tr w14:paraId="5B556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534" w:type="dxa"/>
            <w:vMerge w:val="continue"/>
            <w:vAlign w:val="center"/>
          </w:tcPr>
          <w:p w14:paraId="345CD26C">
            <w:pPr>
              <w:adjustRightInd w:val="0"/>
              <w:snapToGrid w:val="0"/>
              <w:contextualSpacing/>
              <w:rPr>
                <w:rFonts w:ascii="宋体" w:cs="黑体"/>
                <w:b/>
                <w:szCs w:val="21"/>
              </w:rPr>
            </w:pPr>
          </w:p>
        </w:tc>
        <w:tc>
          <w:tcPr>
            <w:tcW w:w="2693" w:type="dxa"/>
            <w:vAlign w:val="center"/>
          </w:tcPr>
          <w:p w14:paraId="0CA004D5">
            <w:pPr>
              <w:adjustRightInd w:val="0"/>
              <w:snapToGrid w:val="0"/>
              <w:ind w:firstLine="420" w:firstLineChars="200"/>
              <w:contextualSpacing/>
              <w:rPr>
                <w:rFonts w:ascii="仿宋" w:eastAsia="仿宋" w:cs="仿宋"/>
                <w:szCs w:val="21"/>
              </w:rPr>
            </w:pPr>
            <w:r>
              <w:rPr>
                <w:rFonts w:ascii="仿宋" w:hAnsi="仿宋" w:cs="仿宋"/>
                <w:szCs w:val="21"/>
              </w:rPr>
              <w:t>4</w:t>
            </w:r>
            <w:r>
              <w:rPr>
                <w:rFonts w:hint="eastAsia" w:ascii="仿宋" w:hAnsi="仿宋" w:cs="仿宋"/>
                <w:szCs w:val="21"/>
              </w:rPr>
              <w:t>、无致人员重伤或死亡的交通事故责任记录；</w:t>
            </w:r>
          </w:p>
        </w:tc>
        <w:tc>
          <w:tcPr>
            <w:tcW w:w="2693" w:type="dxa"/>
            <w:vAlign w:val="center"/>
          </w:tcPr>
          <w:p w14:paraId="6EFD52D7">
            <w:pPr>
              <w:adjustRightInd w:val="0"/>
              <w:snapToGrid w:val="0"/>
              <w:ind w:firstLine="420" w:firstLineChars="200"/>
              <w:contextualSpacing/>
              <w:rPr>
                <w:rFonts w:ascii="仿宋" w:eastAsia="仿宋" w:cs="仿宋"/>
                <w:szCs w:val="21"/>
              </w:rPr>
            </w:pPr>
            <w:r>
              <w:rPr>
                <w:rFonts w:ascii="仿宋" w:hAnsi="仿宋" w:cs="仿宋"/>
                <w:szCs w:val="21"/>
              </w:rPr>
              <w:t>4</w:t>
            </w:r>
            <w:r>
              <w:rPr>
                <w:rFonts w:hint="eastAsia" w:ascii="仿宋" w:hAnsi="仿宋" w:cs="仿宋"/>
                <w:szCs w:val="21"/>
              </w:rPr>
              <w:t>、无致人员重伤或死亡的交通事故责任记录；</w:t>
            </w:r>
          </w:p>
        </w:tc>
        <w:tc>
          <w:tcPr>
            <w:tcW w:w="425" w:type="dxa"/>
            <w:vAlign w:val="center"/>
          </w:tcPr>
          <w:p w14:paraId="12258148">
            <w:pPr>
              <w:jc w:val="center"/>
            </w:pPr>
            <w:r>
              <w:rPr>
                <w:rFonts w:hint="eastAsia" w:ascii="仿宋" w:hAnsi="仿宋" w:cs="仿宋_GB2312"/>
                <w:kern w:val="0"/>
                <w:szCs w:val="21"/>
              </w:rPr>
              <w:t>无偏离</w:t>
            </w:r>
          </w:p>
        </w:tc>
        <w:tc>
          <w:tcPr>
            <w:tcW w:w="709" w:type="dxa"/>
            <w:vAlign w:val="center"/>
          </w:tcPr>
          <w:p w14:paraId="0365E43B">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Merge w:val="restart"/>
            <w:vAlign w:val="center"/>
          </w:tcPr>
          <w:p w14:paraId="0D770DA2">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三年无事故证明见第</w:t>
            </w:r>
            <w:r>
              <w:rPr>
                <w:rFonts w:ascii="仿宋" w:hAnsi="仿宋" w:cs="仿宋_GB2312"/>
                <w:kern w:val="0"/>
                <w:szCs w:val="21"/>
              </w:rPr>
              <w:t>333</w:t>
            </w:r>
            <w:r>
              <w:rPr>
                <w:rFonts w:hint="eastAsia" w:ascii="仿宋" w:hAnsi="仿宋" w:cs="仿宋_GB2312"/>
                <w:kern w:val="0"/>
                <w:szCs w:val="21"/>
              </w:rPr>
              <w:t>页</w:t>
            </w:r>
          </w:p>
        </w:tc>
      </w:tr>
      <w:tr w14:paraId="3927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534" w:type="dxa"/>
            <w:vMerge w:val="continue"/>
            <w:vAlign w:val="center"/>
          </w:tcPr>
          <w:p w14:paraId="39739498">
            <w:pPr>
              <w:adjustRightInd w:val="0"/>
              <w:snapToGrid w:val="0"/>
              <w:contextualSpacing/>
              <w:rPr>
                <w:rFonts w:ascii="宋体" w:cs="黑体"/>
                <w:b/>
                <w:szCs w:val="21"/>
              </w:rPr>
            </w:pPr>
          </w:p>
        </w:tc>
        <w:tc>
          <w:tcPr>
            <w:tcW w:w="2693" w:type="dxa"/>
            <w:vAlign w:val="center"/>
          </w:tcPr>
          <w:p w14:paraId="7D707374">
            <w:pPr>
              <w:adjustRightInd w:val="0"/>
              <w:snapToGrid w:val="0"/>
              <w:ind w:firstLine="420" w:firstLineChars="200"/>
              <w:contextualSpacing/>
              <w:rPr>
                <w:rFonts w:ascii="仿宋" w:eastAsia="仿宋" w:cs="仿宋"/>
                <w:szCs w:val="21"/>
              </w:rPr>
            </w:pPr>
            <w:r>
              <w:rPr>
                <w:rFonts w:ascii="仿宋" w:hAnsi="仿宋" w:cs="仿宋"/>
                <w:szCs w:val="21"/>
              </w:rPr>
              <w:t>5</w:t>
            </w:r>
            <w:r>
              <w:rPr>
                <w:rFonts w:hint="eastAsia" w:ascii="仿宋" w:hAnsi="仿宋" w:cs="仿宋"/>
                <w:szCs w:val="21"/>
              </w:rPr>
              <w:t>、无饮酒或者醉酒后驾驶机动车记录，最近</w:t>
            </w:r>
            <w:r>
              <w:rPr>
                <w:rFonts w:ascii="仿宋" w:hAnsi="仿宋" w:cs="仿宋"/>
                <w:szCs w:val="21"/>
              </w:rPr>
              <w:t>1</w:t>
            </w:r>
            <w:r>
              <w:rPr>
                <w:rFonts w:hint="eastAsia" w:ascii="仿宋" w:hAnsi="仿宋" w:cs="仿宋"/>
                <w:szCs w:val="21"/>
              </w:rPr>
              <w:t>年内无驾驶客运车辆超员、超速等严重交通违法行为记录；</w:t>
            </w:r>
          </w:p>
        </w:tc>
        <w:tc>
          <w:tcPr>
            <w:tcW w:w="2693" w:type="dxa"/>
            <w:vAlign w:val="center"/>
          </w:tcPr>
          <w:p w14:paraId="56A82CB0">
            <w:pPr>
              <w:adjustRightInd w:val="0"/>
              <w:snapToGrid w:val="0"/>
              <w:ind w:firstLine="420" w:firstLineChars="200"/>
              <w:contextualSpacing/>
              <w:rPr>
                <w:rFonts w:ascii="仿宋" w:eastAsia="仿宋" w:cs="仿宋"/>
                <w:szCs w:val="21"/>
              </w:rPr>
            </w:pPr>
            <w:r>
              <w:rPr>
                <w:rFonts w:ascii="仿宋" w:hAnsi="仿宋" w:cs="仿宋"/>
                <w:szCs w:val="21"/>
              </w:rPr>
              <w:t>5</w:t>
            </w:r>
            <w:r>
              <w:rPr>
                <w:rFonts w:hint="eastAsia" w:ascii="仿宋" w:hAnsi="仿宋" w:cs="仿宋"/>
                <w:szCs w:val="21"/>
              </w:rPr>
              <w:t>、无饮酒或者醉酒后驾驶机动车记录，最近</w:t>
            </w:r>
            <w:r>
              <w:rPr>
                <w:rFonts w:ascii="仿宋" w:hAnsi="仿宋" w:cs="仿宋"/>
                <w:szCs w:val="21"/>
              </w:rPr>
              <w:t>1</w:t>
            </w:r>
            <w:r>
              <w:rPr>
                <w:rFonts w:hint="eastAsia" w:ascii="仿宋" w:hAnsi="仿宋" w:cs="仿宋"/>
                <w:szCs w:val="21"/>
              </w:rPr>
              <w:t>年内无驾驶客运车辆超员、超速等严重交通违法行为记录；</w:t>
            </w:r>
          </w:p>
        </w:tc>
        <w:tc>
          <w:tcPr>
            <w:tcW w:w="425" w:type="dxa"/>
            <w:vAlign w:val="center"/>
          </w:tcPr>
          <w:p w14:paraId="6E4E3C7C">
            <w:pPr>
              <w:jc w:val="center"/>
            </w:pPr>
            <w:r>
              <w:rPr>
                <w:rFonts w:hint="eastAsia" w:ascii="仿宋" w:hAnsi="仿宋" w:cs="仿宋_GB2312"/>
                <w:kern w:val="0"/>
                <w:szCs w:val="21"/>
              </w:rPr>
              <w:t>无偏离</w:t>
            </w:r>
          </w:p>
        </w:tc>
        <w:tc>
          <w:tcPr>
            <w:tcW w:w="709" w:type="dxa"/>
            <w:vAlign w:val="center"/>
          </w:tcPr>
          <w:p w14:paraId="2D115CFE">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Merge w:val="continue"/>
            <w:vAlign w:val="center"/>
          </w:tcPr>
          <w:p w14:paraId="3385B49E">
            <w:pPr>
              <w:tabs>
                <w:tab w:val="left" w:pos="-75"/>
              </w:tabs>
              <w:snapToGrid w:val="0"/>
              <w:ind w:right="-57" w:rightChars="-27"/>
              <w:contextualSpacing/>
              <w:jc w:val="center"/>
              <w:rPr>
                <w:rFonts w:ascii="仿宋" w:eastAsia="仿宋" w:cs="仿宋_GB2312"/>
                <w:kern w:val="0"/>
                <w:szCs w:val="21"/>
              </w:rPr>
            </w:pPr>
          </w:p>
        </w:tc>
      </w:tr>
      <w:tr w14:paraId="5AC4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534" w:type="dxa"/>
            <w:vMerge w:val="continue"/>
            <w:vAlign w:val="center"/>
          </w:tcPr>
          <w:p w14:paraId="2BCB51B9">
            <w:pPr>
              <w:adjustRightInd w:val="0"/>
              <w:snapToGrid w:val="0"/>
              <w:contextualSpacing/>
              <w:rPr>
                <w:rFonts w:ascii="宋体" w:cs="黑体"/>
                <w:b/>
                <w:szCs w:val="21"/>
              </w:rPr>
            </w:pPr>
          </w:p>
        </w:tc>
        <w:tc>
          <w:tcPr>
            <w:tcW w:w="2693" w:type="dxa"/>
            <w:vAlign w:val="center"/>
          </w:tcPr>
          <w:p w14:paraId="55721A28">
            <w:pPr>
              <w:adjustRightInd w:val="0"/>
              <w:snapToGrid w:val="0"/>
              <w:ind w:firstLine="420" w:firstLineChars="200"/>
              <w:contextualSpacing/>
              <w:rPr>
                <w:rFonts w:ascii="仿宋" w:eastAsia="仿宋" w:cs="仿宋"/>
                <w:szCs w:val="21"/>
              </w:rPr>
            </w:pPr>
            <w:r>
              <w:rPr>
                <w:rFonts w:ascii="仿宋" w:hAnsi="仿宋" w:cs="仿宋"/>
                <w:szCs w:val="21"/>
              </w:rPr>
              <w:t>6</w:t>
            </w:r>
            <w:r>
              <w:rPr>
                <w:rFonts w:hint="eastAsia" w:ascii="仿宋" w:hAnsi="仿宋" w:cs="仿宋"/>
                <w:szCs w:val="21"/>
              </w:rPr>
              <w:t>、无犯罪记录；</w:t>
            </w:r>
          </w:p>
        </w:tc>
        <w:tc>
          <w:tcPr>
            <w:tcW w:w="2693" w:type="dxa"/>
            <w:vAlign w:val="center"/>
          </w:tcPr>
          <w:p w14:paraId="48D33BD4">
            <w:pPr>
              <w:adjustRightInd w:val="0"/>
              <w:snapToGrid w:val="0"/>
              <w:ind w:firstLine="420" w:firstLineChars="200"/>
              <w:contextualSpacing/>
              <w:rPr>
                <w:rFonts w:ascii="仿宋" w:eastAsia="仿宋" w:cs="仿宋"/>
                <w:szCs w:val="21"/>
              </w:rPr>
            </w:pPr>
            <w:r>
              <w:rPr>
                <w:rFonts w:ascii="仿宋" w:hAnsi="仿宋" w:cs="仿宋"/>
                <w:szCs w:val="21"/>
              </w:rPr>
              <w:t>6</w:t>
            </w:r>
            <w:r>
              <w:rPr>
                <w:rFonts w:hint="eastAsia" w:ascii="仿宋" w:hAnsi="仿宋" w:cs="仿宋"/>
                <w:szCs w:val="21"/>
              </w:rPr>
              <w:t>、无犯罪记录；</w:t>
            </w:r>
          </w:p>
        </w:tc>
        <w:tc>
          <w:tcPr>
            <w:tcW w:w="425" w:type="dxa"/>
            <w:vAlign w:val="center"/>
          </w:tcPr>
          <w:p w14:paraId="4F70A63B">
            <w:pPr>
              <w:jc w:val="center"/>
            </w:pPr>
            <w:r>
              <w:rPr>
                <w:rFonts w:hint="eastAsia" w:ascii="仿宋" w:hAnsi="仿宋" w:cs="仿宋_GB2312"/>
                <w:kern w:val="0"/>
                <w:szCs w:val="21"/>
              </w:rPr>
              <w:t>无偏离</w:t>
            </w:r>
          </w:p>
        </w:tc>
        <w:tc>
          <w:tcPr>
            <w:tcW w:w="709" w:type="dxa"/>
            <w:vAlign w:val="center"/>
          </w:tcPr>
          <w:p w14:paraId="5B9CEE05">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Merge w:val="continue"/>
            <w:vAlign w:val="center"/>
          </w:tcPr>
          <w:p w14:paraId="362E8A3E">
            <w:pPr>
              <w:tabs>
                <w:tab w:val="left" w:pos="-75"/>
              </w:tabs>
              <w:snapToGrid w:val="0"/>
              <w:ind w:right="-57" w:rightChars="-27"/>
              <w:contextualSpacing/>
              <w:jc w:val="center"/>
              <w:rPr>
                <w:rFonts w:ascii="仿宋" w:eastAsia="仿宋" w:cs="仿宋_GB2312"/>
                <w:kern w:val="0"/>
                <w:szCs w:val="21"/>
              </w:rPr>
            </w:pPr>
          </w:p>
        </w:tc>
      </w:tr>
      <w:tr w14:paraId="1C73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trPr>
        <w:tc>
          <w:tcPr>
            <w:tcW w:w="534" w:type="dxa"/>
            <w:vMerge w:val="continue"/>
            <w:vAlign w:val="center"/>
          </w:tcPr>
          <w:p w14:paraId="7D6B03F7">
            <w:pPr>
              <w:adjustRightInd w:val="0"/>
              <w:snapToGrid w:val="0"/>
              <w:contextualSpacing/>
              <w:rPr>
                <w:rFonts w:ascii="宋体" w:cs="黑体"/>
                <w:b/>
                <w:szCs w:val="21"/>
              </w:rPr>
            </w:pPr>
          </w:p>
        </w:tc>
        <w:tc>
          <w:tcPr>
            <w:tcW w:w="2693" w:type="dxa"/>
            <w:vAlign w:val="center"/>
          </w:tcPr>
          <w:p w14:paraId="7FE4D53D">
            <w:pPr>
              <w:adjustRightInd w:val="0"/>
              <w:snapToGrid w:val="0"/>
              <w:ind w:firstLine="420" w:firstLineChars="200"/>
              <w:contextualSpacing/>
              <w:rPr>
                <w:rFonts w:ascii="仿宋" w:eastAsia="仿宋" w:cs="仿宋"/>
                <w:szCs w:val="21"/>
              </w:rPr>
            </w:pPr>
            <w:r>
              <w:rPr>
                <w:rFonts w:ascii="仿宋" w:hAnsi="仿宋" w:cs="仿宋"/>
                <w:szCs w:val="21"/>
              </w:rPr>
              <w:t>7</w:t>
            </w:r>
            <w:r>
              <w:rPr>
                <w:rFonts w:hint="eastAsia" w:ascii="仿宋" w:hAnsi="仿宋" w:cs="仿宋"/>
                <w:szCs w:val="21"/>
              </w:rPr>
              <w:t>、身体健康，无传染性疾病，无癫痫、精神病等可能危及行车安全的疾病病史，无酗酒、吸毒等不良行为记录，校车公司必须每年组织驾驶员体检，并提供体检合格证；</w:t>
            </w:r>
          </w:p>
        </w:tc>
        <w:tc>
          <w:tcPr>
            <w:tcW w:w="2693" w:type="dxa"/>
            <w:vAlign w:val="center"/>
          </w:tcPr>
          <w:p w14:paraId="65838E0E">
            <w:pPr>
              <w:adjustRightInd w:val="0"/>
              <w:snapToGrid w:val="0"/>
              <w:ind w:firstLine="420" w:firstLineChars="200"/>
              <w:contextualSpacing/>
              <w:rPr>
                <w:rFonts w:ascii="仿宋" w:eastAsia="仿宋" w:cs="仿宋"/>
                <w:szCs w:val="21"/>
              </w:rPr>
            </w:pPr>
            <w:r>
              <w:rPr>
                <w:rFonts w:ascii="仿宋" w:hAnsi="仿宋" w:cs="仿宋"/>
                <w:szCs w:val="21"/>
              </w:rPr>
              <w:t>7</w:t>
            </w:r>
            <w:r>
              <w:rPr>
                <w:rFonts w:hint="eastAsia" w:ascii="仿宋" w:hAnsi="仿宋" w:cs="仿宋"/>
                <w:szCs w:val="21"/>
              </w:rPr>
              <w:t>、本公司驾驶员身体健康，无传染性疾病，无癫痫、精神病等可能危及行车安全的疾病病史，无酗酒、吸毒等不良行为记录，校车公司每年组织驾驶员体检，并提供体检合格证；</w:t>
            </w:r>
          </w:p>
        </w:tc>
        <w:tc>
          <w:tcPr>
            <w:tcW w:w="425" w:type="dxa"/>
            <w:vAlign w:val="center"/>
          </w:tcPr>
          <w:p w14:paraId="2C08FD5B">
            <w:pPr>
              <w:jc w:val="center"/>
            </w:pPr>
            <w:r>
              <w:rPr>
                <w:rFonts w:hint="eastAsia" w:ascii="仿宋" w:hAnsi="仿宋" w:cs="仿宋_GB2312"/>
                <w:kern w:val="0"/>
                <w:szCs w:val="21"/>
              </w:rPr>
              <w:t>无偏离</w:t>
            </w:r>
          </w:p>
        </w:tc>
        <w:tc>
          <w:tcPr>
            <w:tcW w:w="709" w:type="dxa"/>
            <w:vAlign w:val="center"/>
          </w:tcPr>
          <w:p w14:paraId="740772E8">
            <w:pPr>
              <w:tabs>
                <w:tab w:val="left" w:pos="-75"/>
              </w:tabs>
              <w:snapToGrid w:val="0"/>
              <w:ind w:right="-57" w:rightChars="-27"/>
              <w:contextualSpacing/>
              <w:rPr>
                <w:rFonts w:ascii="仿宋" w:eastAsia="仿宋" w:cs="仿宋_GB2312"/>
                <w:kern w:val="0"/>
                <w:szCs w:val="21"/>
              </w:rPr>
            </w:pPr>
          </w:p>
        </w:tc>
        <w:tc>
          <w:tcPr>
            <w:tcW w:w="1418" w:type="dxa"/>
            <w:vAlign w:val="center"/>
          </w:tcPr>
          <w:p w14:paraId="236DB344">
            <w:pPr>
              <w:tabs>
                <w:tab w:val="left" w:pos="-75"/>
              </w:tabs>
              <w:snapToGrid w:val="0"/>
              <w:ind w:right="-57" w:rightChars="-27"/>
              <w:contextualSpacing/>
              <w:jc w:val="center"/>
              <w:rPr>
                <w:rFonts w:ascii="仿宋" w:eastAsia="仿宋" w:cs="仿宋_GB2312"/>
                <w:kern w:val="0"/>
                <w:szCs w:val="21"/>
              </w:rPr>
            </w:pPr>
          </w:p>
        </w:tc>
      </w:tr>
      <w:tr w14:paraId="3CC1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534" w:type="dxa"/>
            <w:vMerge w:val="continue"/>
            <w:vAlign w:val="center"/>
          </w:tcPr>
          <w:p w14:paraId="1F67D2A1">
            <w:pPr>
              <w:adjustRightInd w:val="0"/>
              <w:snapToGrid w:val="0"/>
              <w:contextualSpacing/>
              <w:rPr>
                <w:rFonts w:ascii="宋体" w:cs="黑体"/>
                <w:b/>
                <w:szCs w:val="21"/>
              </w:rPr>
            </w:pPr>
          </w:p>
        </w:tc>
        <w:tc>
          <w:tcPr>
            <w:tcW w:w="2693" w:type="dxa"/>
            <w:vAlign w:val="center"/>
          </w:tcPr>
          <w:p w14:paraId="09922BC1">
            <w:pPr>
              <w:adjustRightInd w:val="0"/>
              <w:snapToGrid w:val="0"/>
              <w:ind w:firstLine="420" w:firstLineChars="200"/>
              <w:contextualSpacing/>
              <w:rPr>
                <w:rFonts w:ascii="仿宋" w:eastAsia="仿宋" w:cs="仿宋"/>
                <w:szCs w:val="21"/>
              </w:rPr>
            </w:pPr>
            <w:r>
              <w:rPr>
                <w:rFonts w:ascii="仿宋" w:hAnsi="仿宋" w:cs="仿宋"/>
                <w:szCs w:val="21"/>
              </w:rPr>
              <w:t>8</w:t>
            </w:r>
            <w:r>
              <w:rPr>
                <w:rFonts w:hint="eastAsia" w:ascii="仿宋" w:hAnsi="仿宋" w:cs="仿宋"/>
                <w:szCs w:val="21"/>
              </w:rPr>
              <w:t>、符合法律规定的其它要求。</w:t>
            </w:r>
          </w:p>
        </w:tc>
        <w:tc>
          <w:tcPr>
            <w:tcW w:w="2693" w:type="dxa"/>
            <w:vAlign w:val="center"/>
          </w:tcPr>
          <w:p w14:paraId="10646606">
            <w:pPr>
              <w:adjustRightInd w:val="0"/>
              <w:snapToGrid w:val="0"/>
              <w:ind w:firstLine="420" w:firstLineChars="200"/>
              <w:contextualSpacing/>
              <w:rPr>
                <w:rFonts w:ascii="仿宋" w:eastAsia="仿宋" w:cs="仿宋"/>
                <w:szCs w:val="21"/>
              </w:rPr>
            </w:pPr>
            <w:r>
              <w:rPr>
                <w:rFonts w:ascii="仿宋" w:hAnsi="仿宋" w:cs="仿宋"/>
                <w:szCs w:val="21"/>
              </w:rPr>
              <w:t>8</w:t>
            </w:r>
            <w:r>
              <w:rPr>
                <w:rFonts w:hint="eastAsia" w:ascii="仿宋" w:hAnsi="仿宋" w:cs="仿宋"/>
                <w:szCs w:val="21"/>
              </w:rPr>
              <w:t>、符合法律规定的其它要求。</w:t>
            </w:r>
          </w:p>
        </w:tc>
        <w:tc>
          <w:tcPr>
            <w:tcW w:w="425" w:type="dxa"/>
            <w:vAlign w:val="center"/>
          </w:tcPr>
          <w:p w14:paraId="7AA58806">
            <w:pPr>
              <w:jc w:val="center"/>
            </w:pPr>
            <w:r>
              <w:rPr>
                <w:rFonts w:hint="eastAsia" w:ascii="仿宋" w:hAnsi="仿宋" w:cs="仿宋_GB2312"/>
                <w:kern w:val="0"/>
                <w:szCs w:val="21"/>
              </w:rPr>
              <w:t>无偏离</w:t>
            </w:r>
          </w:p>
        </w:tc>
        <w:tc>
          <w:tcPr>
            <w:tcW w:w="709" w:type="dxa"/>
            <w:vAlign w:val="center"/>
          </w:tcPr>
          <w:p w14:paraId="711D7CA8">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Align w:val="center"/>
          </w:tcPr>
          <w:p w14:paraId="7757AE39">
            <w:pPr>
              <w:tabs>
                <w:tab w:val="left" w:pos="-75"/>
              </w:tabs>
              <w:snapToGrid w:val="0"/>
              <w:ind w:right="-57" w:rightChars="-27"/>
              <w:contextualSpacing/>
              <w:jc w:val="center"/>
              <w:rPr>
                <w:rFonts w:ascii="仿宋" w:eastAsia="仿宋" w:cs="仿宋_GB2312"/>
                <w:kern w:val="0"/>
                <w:szCs w:val="21"/>
              </w:rPr>
            </w:pPr>
          </w:p>
        </w:tc>
      </w:tr>
      <w:tr w14:paraId="5647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2" w:hRule="atLeast"/>
        </w:trPr>
        <w:tc>
          <w:tcPr>
            <w:tcW w:w="534" w:type="dxa"/>
            <w:vMerge w:val="restart"/>
            <w:vAlign w:val="center"/>
          </w:tcPr>
          <w:p w14:paraId="7B74498A">
            <w:pPr>
              <w:adjustRightInd w:val="0"/>
              <w:snapToGrid w:val="0"/>
              <w:contextualSpacing/>
              <w:rPr>
                <w:rFonts w:ascii="宋体" w:cs="黑体"/>
                <w:b/>
                <w:szCs w:val="21"/>
              </w:rPr>
            </w:pPr>
            <w:r>
              <w:rPr>
                <w:rFonts w:hint="eastAsia" w:ascii="宋体" w:hAnsi="宋体" w:cs="黑体"/>
                <w:b/>
                <w:szCs w:val="21"/>
              </w:rPr>
              <w:t>五、校车照管人员要求：</w:t>
            </w:r>
          </w:p>
          <w:p w14:paraId="6DFB9D23">
            <w:pPr>
              <w:adjustRightInd w:val="0"/>
              <w:snapToGrid w:val="0"/>
              <w:ind w:firstLine="420" w:firstLineChars="200"/>
              <w:contextualSpacing/>
              <w:rPr>
                <w:rFonts w:ascii="仿宋" w:eastAsia="仿宋" w:cs="仿宋"/>
                <w:szCs w:val="21"/>
              </w:rPr>
            </w:pPr>
          </w:p>
        </w:tc>
        <w:tc>
          <w:tcPr>
            <w:tcW w:w="2693" w:type="dxa"/>
            <w:vAlign w:val="center"/>
          </w:tcPr>
          <w:p w14:paraId="40D93E1A">
            <w:pPr>
              <w:adjustRightInd w:val="0"/>
              <w:snapToGrid w:val="0"/>
              <w:ind w:firstLine="420" w:firstLineChars="200"/>
              <w:contextualSpacing/>
              <w:rPr>
                <w:rFonts w:ascii="仿宋" w:eastAsia="仿宋" w:cs="仿宋"/>
                <w:szCs w:val="21"/>
              </w:rPr>
            </w:pPr>
            <w:r>
              <w:rPr>
                <w:rFonts w:ascii="仿宋" w:hAnsi="仿宋" w:cs="仿宋"/>
                <w:szCs w:val="21"/>
              </w:rPr>
              <w:t>1</w:t>
            </w:r>
            <w:r>
              <w:rPr>
                <w:rFonts w:hint="eastAsia" w:ascii="仿宋" w:hAnsi="仿宋" w:cs="仿宋"/>
                <w:szCs w:val="21"/>
              </w:rPr>
              <w:t>、每车必须配备</w:t>
            </w:r>
            <w:r>
              <w:rPr>
                <w:rFonts w:ascii="仿宋" w:hAnsi="仿宋" w:cs="仿宋"/>
                <w:szCs w:val="21"/>
              </w:rPr>
              <w:t>1</w:t>
            </w:r>
            <w:r>
              <w:rPr>
                <w:rFonts w:hint="eastAsia" w:ascii="仿宋" w:hAnsi="仿宋" w:cs="仿宋"/>
                <w:szCs w:val="21"/>
              </w:rPr>
              <w:t>名照管人员，在学生上下车时进行引导、指挥，维护上下车秩序。照管人员应身体健康，每年安排体检一次，每年无重大疾病或传染病，精神面貌好。校车公司必须每年组织照管人员体检，并提供体检合格证。无犯罪记录，工作日不饮酒、车内不吸烟，行车途中不接打电话，不与学生闲聊；</w:t>
            </w:r>
          </w:p>
        </w:tc>
        <w:tc>
          <w:tcPr>
            <w:tcW w:w="2693" w:type="dxa"/>
            <w:vAlign w:val="center"/>
          </w:tcPr>
          <w:p w14:paraId="008F6DEC">
            <w:pPr>
              <w:adjustRightInd w:val="0"/>
              <w:snapToGrid w:val="0"/>
              <w:ind w:firstLine="420" w:firstLineChars="200"/>
              <w:contextualSpacing/>
              <w:rPr>
                <w:rFonts w:ascii="仿宋" w:eastAsia="仿宋" w:cs="仿宋"/>
                <w:szCs w:val="21"/>
              </w:rPr>
            </w:pPr>
            <w:r>
              <w:rPr>
                <w:rFonts w:ascii="仿宋" w:hAnsi="仿宋" w:cs="仿宋"/>
                <w:szCs w:val="21"/>
              </w:rPr>
              <w:t>1</w:t>
            </w:r>
            <w:r>
              <w:rPr>
                <w:rFonts w:hint="eastAsia" w:ascii="仿宋" w:hAnsi="仿宋" w:cs="仿宋"/>
                <w:szCs w:val="21"/>
              </w:rPr>
              <w:t>、每车配备</w:t>
            </w:r>
            <w:r>
              <w:rPr>
                <w:rFonts w:ascii="仿宋" w:hAnsi="仿宋" w:cs="仿宋"/>
                <w:szCs w:val="21"/>
              </w:rPr>
              <w:t>1</w:t>
            </w:r>
            <w:r>
              <w:rPr>
                <w:rFonts w:hint="eastAsia" w:ascii="仿宋" w:hAnsi="仿宋" w:cs="仿宋"/>
                <w:szCs w:val="21"/>
              </w:rPr>
              <w:t>名照管人员，在学生上下车时进行引导、指挥，维护上下车秩序。照管人员身体健康，每年安排体检一次，每年无重大疾病或传染病，精神面貌好。公司承诺中标后每年组织照管人员体检，并提供体检合格证。无犯罪记录，工作日不饮酒、车内不吸烟，行车途中不接打电话，不与学生闲聊。</w:t>
            </w:r>
          </w:p>
        </w:tc>
        <w:tc>
          <w:tcPr>
            <w:tcW w:w="425" w:type="dxa"/>
            <w:vAlign w:val="center"/>
          </w:tcPr>
          <w:p w14:paraId="3643F78D">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Align w:val="center"/>
          </w:tcPr>
          <w:p w14:paraId="0E196E3C">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Align w:val="center"/>
          </w:tcPr>
          <w:p w14:paraId="61D2D049">
            <w:pPr>
              <w:tabs>
                <w:tab w:val="left" w:pos="-75"/>
              </w:tabs>
              <w:snapToGrid w:val="0"/>
              <w:ind w:right="-57" w:rightChars="-27"/>
              <w:contextualSpacing/>
              <w:jc w:val="left"/>
              <w:rPr>
                <w:rFonts w:ascii="仿宋" w:eastAsia="仿宋" w:cs="仿宋_GB2312"/>
                <w:kern w:val="0"/>
                <w:szCs w:val="21"/>
              </w:rPr>
            </w:pPr>
            <w:r>
              <w:rPr>
                <w:rFonts w:hint="eastAsia" w:ascii="仿宋" w:hAnsi="仿宋" w:cs="仿宋_GB2312"/>
                <w:kern w:val="0"/>
                <w:szCs w:val="21"/>
              </w:rPr>
              <w:t>备用随车照管见第</w:t>
            </w:r>
            <w:r>
              <w:rPr>
                <w:rFonts w:ascii="仿宋" w:hAnsi="仿宋" w:cs="仿宋_GB2312"/>
                <w:kern w:val="0"/>
                <w:szCs w:val="21"/>
              </w:rPr>
              <w:t>358</w:t>
            </w:r>
            <w:r>
              <w:rPr>
                <w:rFonts w:hint="eastAsia" w:ascii="仿宋" w:hAnsi="仿宋" w:cs="仿宋_GB2312"/>
                <w:kern w:val="0"/>
                <w:szCs w:val="21"/>
              </w:rPr>
              <w:t>页</w:t>
            </w:r>
          </w:p>
        </w:tc>
      </w:tr>
      <w:tr w14:paraId="5208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3" w:hRule="atLeast"/>
        </w:trPr>
        <w:tc>
          <w:tcPr>
            <w:tcW w:w="534" w:type="dxa"/>
            <w:vMerge w:val="continue"/>
            <w:vAlign w:val="center"/>
          </w:tcPr>
          <w:p w14:paraId="29951283">
            <w:pPr>
              <w:adjustRightInd w:val="0"/>
              <w:snapToGrid w:val="0"/>
              <w:contextualSpacing/>
              <w:rPr>
                <w:rFonts w:ascii="宋体" w:cs="黑体"/>
                <w:b/>
                <w:szCs w:val="21"/>
              </w:rPr>
            </w:pPr>
          </w:p>
        </w:tc>
        <w:tc>
          <w:tcPr>
            <w:tcW w:w="2693" w:type="dxa"/>
            <w:vAlign w:val="center"/>
          </w:tcPr>
          <w:p w14:paraId="171C232E">
            <w:pPr>
              <w:adjustRightInd w:val="0"/>
              <w:snapToGrid w:val="0"/>
              <w:ind w:firstLine="420" w:firstLineChars="200"/>
              <w:contextualSpacing/>
              <w:rPr>
                <w:rFonts w:ascii="仿宋" w:eastAsia="仿宋" w:cs="仿宋"/>
                <w:szCs w:val="21"/>
              </w:rPr>
            </w:pPr>
            <w:r>
              <w:rPr>
                <w:rFonts w:ascii="仿宋" w:hAnsi="仿宋" w:cs="仿宋"/>
                <w:szCs w:val="21"/>
              </w:rPr>
              <w:t>2</w:t>
            </w:r>
            <w:r>
              <w:rPr>
                <w:rFonts w:hint="eastAsia" w:ascii="仿宋" w:hAnsi="仿宋" w:cs="仿宋"/>
                <w:szCs w:val="21"/>
              </w:rPr>
              <w:t>、发现驾驶人无校车驾驶资格，饮酒、醉酒后驾驶，或者身体严重不适以及校车超员等明显妨碍行车安全情形的，有权制止校车运行；</w:t>
            </w:r>
          </w:p>
        </w:tc>
        <w:tc>
          <w:tcPr>
            <w:tcW w:w="2693" w:type="dxa"/>
            <w:vAlign w:val="center"/>
          </w:tcPr>
          <w:p w14:paraId="6C163D65">
            <w:pPr>
              <w:adjustRightInd w:val="0"/>
              <w:snapToGrid w:val="0"/>
              <w:ind w:firstLine="420" w:firstLineChars="200"/>
              <w:contextualSpacing/>
              <w:rPr>
                <w:rFonts w:ascii="仿宋" w:eastAsia="仿宋" w:cs="仿宋"/>
                <w:szCs w:val="21"/>
              </w:rPr>
            </w:pPr>
            <w:r>
              <w:rPr>
                <w:rFonts w:ascii="仿宋" w:hAnsi="仿宋" w:cs="仿宋"/>
                <w:szCs w:val="21"/>
              </w:rPr>
              <w:t>2</w:t>
            </w:r>
            <w:r>
              <w:rPr>
                <w:rFonts w:hint="eastAsia" w:ascii="仿宋" w:hAnsi="仿宋" w:cs="仿宋"/>
                <w:szCs w:val="21"/>
              </w:rPr>
              <w:t>、发现驾驶人无校车驾驶资格，饮酒、醉酒后驾驶，或者身体严重不适以及校车超员等明显妨碍行车安全情形的，有权制止校车运行；</w:t>
            </w:r>
          </w:p>
        </w:tc>
        <w:tc>
          <w:tcPr>
            <w:tcW w:w="425" w:type="dxa"/>
            <w:vAlign w:val="center"/>
          </w:tcPr>
          <w:p w14:paraId="5CA984C7">
            <w:pPr>
              <w:jc w:val="center"/>
            </w:pPr>
            <w:r>
              <w:rPr>
                <w:rFonts w:hint="eastAsia" w:ascii="仿宋" w:hAnsi="仿宋" w:cs="仿宋_GB2312"/>
                <w:kern w:val="0"/>
                <w:szCs w:val="21"/>
              </w:rPr>
              <w:t>无偏离</w:t>
            </w:r>
          </w:p>
        </w:tc>
        <w:tc>
          <w:tcPr>
            <w:tcW w:w="709" w:type="dxa"/>
            <w:vMerge w:val="restart"/>
            <w:vAlign w:val="center"/>
          </w:tcPr>
          <w:p w14:paraId="60A0473E">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Merge w:val="restart"/>
            <w:vAlign w:val="center"/>
          </w:tcPr>
          <w:p w14:paraId="33F2CF4C">
            <w:pPr>
              <w:tabs>
                <w:tab w:val="left" w:pos="-75"/>
              </w:tabs>
              <w:snapToGrid w:val="0"/>
              <w:ind w:right="-57" w:rightChars="-27"/>
              <w:contextualSpacing/>
              <w:jc w:val="left"/>
              <w:rPr>
                <w:rFonts w:ascii="仿宋" w:eastAsia="仿宋" w:cs="仿宋_GB2312"/>
                <w:kern w:val="0"/>
                <w:szCs w:val="21"/>
              </w:rPr>
            </w:pPr>
            <w:r>
              <w:rPr>
                <w:rFonts w:hint="eastAsia" w:ascii="仿宋" w:hAnsi="仿宋" w:cs="仿宋_GB2312"/>
                <w:kern w:val="0"/>
                <w:szCs w:val="21"/>
              </w:rPr>
              <w:t>见</w:t>
            </w:r>
            <w:r>
              <w:rPr>
                <w:rFonts w:ascii="仿宋" w:hAnsi="仿宋" w:cs="仿宋_GB2312"/>
                <w:kern w:val="0"/>
                <w:szCs w:val="21"/>
              </w:rPr>
              <w:t>363</w:t>
            </w:r>
            <w:r>
              <w:rPr>
                <w:rFonts w:hint="eastAsia" w:ascii="仿宋" w:hAnsi="仿宋" w:cs="仿宋_GB2312"/>
                <w:kern w:val="0"/>
                <w:szCs w:val="21"/>
              </w:rPr>
              <w:t>页</w:t>
            </w:r>
            <w:r>
              <w:rPr>
                <w:rFonts w:ascii="仿宋" w:hAnsi="仿宋" w:cs="仿宋_GB2312"/>
                <w:kern w:val="0"/>
                <w:szCs w:val="21"/>
              </w:rPr>
              <w:t>-373</w:t>
            </w:r>
            <w:r>
              <w:rPr>
                <w:rFonts w:hint="eastAsia" w:ascii="仿宋" w:hAnsi="仿宋" w:cs="仿宋_GB2312"/>
                <w:kern w:val="0"/>
                <w:szCs w:val="21"/>
              </w:rPr>
              <w:t>页服务管理体系</w:t>
            </w:r>
          </w:p>
        </w:tc>
      </w:tr>
      <w:tr w14:paraId="707E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534" w:type="dxa"/>
            <w:vMerge w:val="continue"/>
            <w:vAlign w:val="center"/>
          </w:tcPr>
          <w:p w14:paraId="14D25CDC">
            <w:pPr>
              <w:adjustRightInd w:val="0"/>
              <w:snapToGrid w:val="0"/>
              <w:contextualSpacing/>
              <w:rPr>
                <w:rFonts w:ascii="宋体" w:cs="黑体"/>
                <w:b/>
                <w:szCs w:val="21"/>
              </w:rPr>
            </w:pPr>
          </w:p>
        </w:tc>
        <w:tc>
          <w:tcPr>
            <w:tcW w:w="2693" w:type="dxa"/>
            <w:vAlign w:val="center"/>
          </w:tcPr>
          <w:p w14:paraId="6CA41F95">
            <w:pPr>
              <w:adjustRightInd w:val="0"/>
              <w:snapToGrid w:val="0"/>
              <w:ind w:firstLine="420" w:firstLineChars="200"/>
              <w:contextualSpacing/>
              <w:rPr>
                <w:rFonts w:ascii="仿宋" w:eastAsia="仿宋" w:cs="仿宋"/>
                <w:szCs w:val="21"/>
              </w:rPr>
            </w:pPr>
            <w:r>
              <w:rPr>
                <w:rFonts w:ascii="仿宋" w:hAnsi="仿宋" w:cs="仿宋"/>
                <w:szCs w:val="21"/>
              </w:rPr>
              <w:t>3</w:t>
            </w:r>
            <w:r>
              <w:rPr>
                <w:rFonts w:hint="eastAsia" w:ascii="仿宋" w:hAnsi="仿宋" w:cs="仿宋"/>
                <w:szCs w:val="21"/>
              </w:rPr>
              <w:t>、清点乘车学生人数，帮助、指导学生安全落座、系好安全带，确认车门关闭后示意驾驶人启动校车；</w:t>
            </w:r>
          </w:p>
        </w:tc>
        <w:tc>
          <w:tcPr>
            <w:tcW w:w="2693" w:type="dxa"/>
            <w:vAlign w:val="center"/>
          </w:tcPr>
          <w:p w14:paraId="16C237A0">
            <w:pPr>
              <w:adjustRightInd w:val="0"/>
              <w:snapToGrid w:val="0"/>
              <w:ind w:firstLine="420" w:firstLineChars="200"/>
              <w:contextualSpacing/>
              <w:rPr>
                <w:rFonts w:ascii="仿宋" w:eastAsia="仿宋" w:cs="仿宋"/>
                <w:szCs w:val="21"/>
              </w:rPr>
            </w:pPr>
            <w:r>
              <w:rPr>
                <w:rFonts w:ascii="仿宋" w:hAnsi="仿宋" w:cs="仿宋"/>
                <w:szCs w:val="21"/>
              </w:rPr>
              <w:t>3</w:t>
            </w:r>
            <w:r>
              <w:rPr>
                <w:rFonts w:hint="eastAsia" w:ascii="仿宋" w:hAnsi="仿宋" w:cs="仿宋"/>
                <w:szCs w:val="21"/>
              </w:rPr>
              <w:t>、清点乘车学生人数，帮助、指导学生安全落座、系好安全带，确认车门关闭后示意驾驶人启动校车；</w:t>
            </w:r>
          </w:p>
        </w:tc>
        <w:tc>
          <w:tcPr>
            <w:tcW w:w="425" w:type="dxa"/>
            <w:vAlign w:val="center"/>
          </w:tcPr>
          <w:p w14:paraId="7A8B5A3B">
            <w:pPr>
              <w:jc w:val="center"/>
            </w:pPr>
            <w:r>
              <w:rPr>
                <w:rFonts w:hint="eastAsia" w:ascii="仿宋" w:hAnsi="仿宋" w:cs="仿宋_GB2312"/>
                <w:kern w:val="0"/>
                <w:szCs w:val="21"/>
              </w:rPr>
              <w:t>无偏离</w:t>
            </w:r>
          </w:p>
        </w:tc>
        <w:tc>
          <w:tcPr>
            <w:tcW w:w="709" w:type="dxa"/>
            <w:vMerge w:val="continue"/>
            <w:vAlign w:val="center"/>
          </w:tcPr>
          <w:p w14:paraId="4DE1C610">
            <w:pPr>
              <w:tabs>
                <w:tab w:val="left" w:pos="-75"/>
              </w:tabs>
              <w:snapToGrid w:val="0"/>
              <w:ind w:right="-57" w:rightChars="-27"/>
              <w:contextualSpacing/>
              <w:jc w:val="center"/>
              <w:rPr>
                <w:rFonts w:ascii="仿宋" w:eastAsia="仿宋" w:cs="仿宋_GB2312"/>
                <w:kern w:val="0"/>
                <w:szCs w:val="21"/>
              </w:rPr>
            </w:pPr>
          </w:p>
        </w:tc>
        <w:tc>
          <w:tcPr>
            <w:tcW w:w="1418" w:type="dxa"/>
            <w:vMerge w:val="continue"/>
            <w:vAlign w:val="center"/>
          </w:tcPr>
          <w:p w14:paraId="732ADA4F">
            <w:pPr>
              <w:tabs>
                <w:tab w:val="left" w:pos="-75"/>
              </w:tabs>
              <w:snapToGrid w:val="0"/>
              <w:ind w:right="-57" w:rightChars="-27"/>
              <w:contextualSpacing/>
              <w:jc w:val="left"/>
              <w:rPr>
                <w:rFonts w:ascii="仿宋" w:eastAsia="仿宋" w:cs="仿宋_GB2312"/>
                <w:kern w:val="0"/>
                <w:szCs w:val="21"/>
              </w:rPr>
            </w:pPr>
          </w:p>
        </w:tc>
      </w:tr>
      <w:tr w14:paraId="0741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534" w:type="dxa"/>
            <w:vMerge w:val="continue"/>
            <w:vAlign w:val="center"/>
          </w:tcPr>
          <w:p w14:paraId="57407DBB">
            <w:pPr>
              <w:adjustRightInd w:val="0"/>
              <w:snapToGrid w:val="0"/>
              <w:contextualSpacing/>
              <w:rPr>
                <w:rFonts w:ascii="宋体" w:cs="黑体"/>
                <w:b/>
                <w:szCs w:val="21"/>
              </w:rPr>
            </w:pPr>
          </w:p>
        </w:tc>
        <w:tc>
          <w:tcPr>
            <w:tcW w:w="2693" w:type="dxa"/>
            <w:vAlign w:val="center"/>
          </w:tcPr>
          <w:p w14:paraId="6EC94704">
            <w:pPr>
              <w:adjustRightInd w:val="0"/>
              <w:snapToGrid w:val="0"/>
              <w:ind w:firstLine="420" w:firstLineChars="200"/>
              <w:contextualSpacing/>
              <w:rPr>
                <w:rFonts w:ascii="仿宋" w:eastAsia="仿宋" w:cs="仿宋"/>
                <w:szCs w:val="21"/>
              </w:rPr>
            </w:pPr>
            <w:r>
              <w:rPr>
                <w:rFonts w:ascii="仿宋" w:hAnsi="仿宋" w:cs="仿宋"/>
                <w:szCs w:val="21"/>
              </w:rPr>
              <w:t>4</w:t>
            </w:r>
            <w:r>
              <w:rPr>
                <w:rFonts w:hint="eastAsia" w:ascii="仿宋" w:hAnsi="仿宋" w:cs="仿宋"/>
                <w:szCs w:val="21"/>
              </w:rPr>
              <w:t>、制止学生在校车行驶过程中离开座位等危险行为；</w:t>
            </w:r>
          </w:p>
        </w:tc>
        <w:tc>
          <w:tcPr>
            <w:tcW w:w="2693" w:type="dxa"/>
            <w:vAlign w:val="center"/>
          </w:tcPr>
          <w:p w14:paraId="26C2EFF8">
            <w:pPr>
              <w:adjustRightInd w:val="0"/>
              <w:snapToGrid w:val="0"/>
              <w:ind w:firstLine="420" w:firstLineChars="200"/>
              <w:contextualSpacing/>
              <w:rPr>
                <w:rFonts w:ascii="仿宋" w:eastAsia="仿宋" w:cs="仿宋"/>
                <w:szCs w:val="21"/>
              </w:rPr>
            </w:pPr>
            <w:r>
              <w:rPr>
                <w:rFonts w:ascii="仿宋" w:hAnsi="仿宋" w:cs="仿宋"/>
                <w:szCs w:val="21"/>
              </w:rPr>
              <w:t>4</w:t>
            </w:r>
            <w:r>
              <w:rPr>
                <w:rFonts w:hint="eastAsia" w:ascii="仿宋" w:hAnsi="仿宋" w:cs="仿宋"/>
                <w:szCs w:val="21"/>
              </w:rPr>
              <w:t>、制止学生在校车行驶过程中离开座位等危险行为；</w:t>
            </w:r>
          </w:p>
        </w:tc>
        <w:tc>
          <w:tcPr>
            <w:tcW w:w="425" w:type="dxa"/>
            <w:vAlign w:val="center"/>
          </w:tcPr>
          <w:p w14:paraId="08C375CD">
            <w:pPr>
              <w:jc w:val="center"/>
            </w:pPr>
            <w:r>
              <w:rPr>
                <w:rFonts w:hint="eastAsia" w:ascii="仿宋" w:hAnsi="仿宋" w:cs="仿宋_GB2312"/>
                <w:kern w:val="0"/>
                <w:szCs w:val="21"/>
              </w:rPr>
              <w:t>无偏离</w:t>
            </w:r>
          </w:p>
        </w:tc>
        <w:tc>
          <w:tcPr>
            <w:tcW w:w="709" w:type="dxa"/>
            <w:vMerge w:val="continue"/>
            <w:vAlign w:val="center"/>
          </w:tcPr>
          <w:p w14:paraId="01FD0FEC">
            <w:pPr>
              <w:tabs>
                <w:tab w:val="left" w:pos="-75"/>
              </w:tabs>
              <w:snapToGrid w:val="0"/>
              <w:ind w:right="-57" w:rightChars="-27"/>
              <w:contextualSpacing/>
              <w:jc w:val="center"/>
              <w:rPr>
                <w:rFonts w:ascii="仿宋" w:eastAsia="仿宋" w:cs="仿宋_GB2312"/>
                <w:kern w:val="0"/>
                <w:szCs w:val="21"/>
              </w:rPr>
            </w:pPr>
          </w:p>
        </w:tc>
        <w:tc>
          <w:tcPr>
            <w:tcW w:w="1418" w:type="dxa"/>
            <w:vMerge w:val="continue"/>
            <w:vAlign w:val="center"/>
          </w:tcPr>
          <w:p w14:paraId="6AB15D15">
            <w:pPr>
              <w:tabs>
                <w:tab w:val="left" w:pos="-75"/>
              </w:tabs>
              <w:snapToGrid w:val="0"/>
              <w:ind w:right="-57" w:rightChars="-27"/>
              <w:contextualSpacing/>
              <w:jc w:val="left"/>
              <w:rPr>
                <w:rFonts w:ascii="仿宋" w:eastAsia="仿宋" w:cs="仿宋_GB2312"/>
                <w:kern w:val="0"/>
                <w:szCs w:val="21"/>
              </w:rPr>
            </w:pPr>
          </w:p>
        </w:tc>
      </w:tr>
      <w:tr w14:paraId="201E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534" w:type="dxa"/>
            <w:vMerge w:val="continue"/>
            <w:vAlign w:val="center"/>
          </w:tcPr>
          <w:p w14:paraId="1FC380B0">
            <w:pPr>
              <w:adjustRightInd w:val="0"/>
              <w:snapToGrid w:val="0"/>
              <w:contextualSpacing/>
              <w:rPr>
                <w:rFonts w:ascii="宋体" w:cs="黑体"/>
                <w:b/>
                <w:szCs w:val="21"/>
              </w:rPr>
            </w:pPr>
          </w:p>
        </w:tc>
        <w:tc>
          <w:tcPr>
            <w:tcW w:w="2693" w:type="dxa"/>
            <w:vAlign w:val="center"/>
          </w:tcPr>
          <w:p w14:paraId="32FF34D9">
            <w:pPr>
              <w:adjustRightInd w:val="0"/>
              <w:snapToGrid w:val="0"/>
              <w:ind w:firstLine="420" w:firstLineChars="200"/>
              <w:contextualSpacing/>
              <w:rPr>
                <w:rFonts w:ascii="仿宋" w:eastAsia="仿宋" w:cs="仿宋"/>
                <w:szCs w:val="21"/>
              </w:rPr>
            </w:pPr>
            <w:r>
              <w:rPr>
                <w:rFonts w:ascii="仿宋" w:hAnsi="仿宋" w:cs="仿宋"/>
                <w:szCs w:val="21"/>
              </w:rPr>
              <w:t>5</w:t>
            </w:r>
            <w:r>
              <w:rPr>
                <w:rFonts w:hint="eastAsia" w:ascii="仿宋" w:hAnsi="仿宋" w:cs="仿宋"/>
                <w:szCs w:val="21"/>
              </w:rPr>
              <w:t>、核实学生上下车人数，确认乘车学生已经全部与家长或学校交接后本人方可离车；</w:t>
            </w:r>
          </w:p>
        </w:tc>
        <w:tc>
          <w:tcPr>
            <w:tcW w:w="2693" w:type="dxa"/>
            <w:vAlign w:val="center"/>
          </w:tcPr>
          <w:p w14:paraId="079FD1CF">
            <w:pPr>
              <w:adjustRightInd w:val="0"/>
              <w:snapToGrid w:val="0"/>
              <w:ind w:firstLine="420" w:firstLineChars="200"/>
              <w:contextualSpacing/>
              <w:rPr>
                <w:rFonts w:ascii="仿宋" w:eastAsia="仿宋" w:cs="仿宋"/>
                <w:szCs w:val="21"/>
              </w:rPr>
            </w:pPr>
            <w:r>
              <w:rPr>
                <w:rFonts w:ascii="仿宋" w:hAnsi="仿宋" w:cs="仿宋"/>
                <w:szCs w:val="21"/>
              </w:rPr>
              <w:t>5</w:t>
            </w:r>
            <w:r>
              <w:rPr>
                <w:rFonts w:hint="eastAsia" w:ascii="仿宋" w:hAnsi="仿宋" w:cs="仿宋"/>
                <w:szCs w:val="21"/>
              </w:rPr>
              <w:t>、核实学生上下车人数，确认乘车学生已经全部与家长或学校交接后本人方可离车；</w:t>
            </w:r>
          </w:p>
        </w:tc>
        <w:tc>
          <w:tcPr>
            <w:tcW w:w="425" w:type="dxa"/>
            <w:vAlign w:val="center"/>
          </w:tcPr>
          <w:p w14:paraId="21E1FBCB">
            <w:pPr>
              <w:jc w:val="center"/>
            </w:pPr>
            <w:r>
              <w:rPr>
                <w:rFonts w:hint="eastAsia" w:ascii="仿宋" w:hAnsi="仿宋" w:cs="仿宋_GB2312"/>
                <w:kern w:val="0"/>
                <w:szCs w:val="21"/>
              </w:rPr>
              <w:t>无偏离</w:t>
            </w:r>
          </w:p>
        </w:tc>
        <w:tc>
          <w:tcPr>
            <w:tcW w:w="709" w:type="dxa"/>
            <w:vMerge w:val="continue"/>
            <w:vAlign w:val="center"/>
          </w:tcPr>
          <w:p w14:paraId="54DD353B">
            <w:pPr>
              <w:tabs>
                <w:tab w:val="left" w:pos="-75"/>
              </w:tabs>
              <w:snapToGrid w:val="0"/>
              <w:ind w:right="-57" w:rightChars="-27"/>
              <w:contextualSpacing/>
              <w:jc w:val="center"/>
              <w:rPr>
                <w:rFonts w:ascii="仿宋" w:eastAsia="仿宋" w:cs="仿宋_GB2312"/>
                <w:kern w:val="0"/>
                <w:szCs w:val="21"/>
              </w:rPr>
            </w:pPr>
          </w:p>
        </w:tc>
        <w:tc>
          <w:tcPr>
            <w:tcW w:w="1418" w:type="dxa"/>
            <w:vMerge w:val="continue"/>
            <w:vAlign w:val="center"/>
          </w:tcPr>
          <w:p w14:paraId="017B407D">
            <w:pPr>
              <w:tabs>
                <w:tab w:val="left" w:pos="-75"/>
              </w:tabs>
              <w:snapToGrid w:val="0"/>
              <w:ind w:right="-57" w:rightChars="-27"/>
              <w:contextualSpacing/>
              <w:jc w:val="left"/>
              <w:rPr>
                <w:rFonts w:ascii="仿宋" w:eastAsia="仿宋" w:cs="仿宋_GB2312"/>
                <w:kern w:val="0"/>
                <w:szCs w:val="21"/>
              </w:rPr>
            </w:pPr>
          </w:p>
        </w:tc>
      </w:tr>
      <w:tr w14:paraId="75F2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534" w:type="dxa"/>
            <w:vMerge w:val="continue"/>
            <w:vAlign w:val="center"/>
          </w:tcPr>
          <w:p w14:paraId="37AD165B">
            <w:pPr>
              <w:adjustRightInd w:val="0"/>
              <w:snapToGrid w:val="0"/>
              <w:contextualSpacing/>
              <w:rPr>
                <w:rFonts w:ascii="宋体" w:cs="黑体"/>
                <w:b/>
                <w:szCs w:val="21"/>
              </w:rPr>
            </w:pPr>
          </w:p>
        </w:tc>
        <w:tc>
          <w:tcPr>
            <w:tcW w:w="2693" w:type="dxa"/>
            <w:vAlign w:val="center"/>
          </w:tcPr>
          <w:p w14:paraId="06DC2F9D">
            <w:pPr>
              <w:adjustRightInd w:val="0"/>
              <w:snapToGrid w:val="0"/>
              <w:ind w:firstLine="420" w:firstLineChars="200"/>
              <w:contextualSpacing/>
              <w:rPr>
                <w:rFonts w:ascii="仿宋" w:eastAsia="仿宋" w:cs="仿宋"/>
                <w:szCs w:val="21"/>
              </w:rPr>
            </w:pPr>
            <w:r>
              <w:rPr>
                <w:rFonts w:ascii="仿宋" w:hAnsi="仿宋" w:cs="仿宋"/>
                <w:szCs w:val="21"/>
              </w:rPr>
              <w:t>6</w:t>
            </w:r>
            <w:r>
              <w:rPr>
                <w:rFonts w:hint="eastAsia" w:ascii="仿宋" w:hAnsi="仿宋" w:cs="仿宋"/>
                <w:szCs w:val="21"/>
              </w:rPr>
              <w:t>、符合法律规定的其它要求。</w:t>
            </w:r>
          </w:p>
        </w:tc>
        <w:tc>
          <w:tcPr>
            <w:tcW w:w="2693" w:type="dxa"/>
            <w:vAlign w:val="center"/>
          </w:tcPr>
          <w:p w14:paraId="49EB546B">
            <w:pPr>
              <w:adjustRightInd w:val="0"/>
              <w:snapToGrid w:val="0"/>
              <w:ind w:firstLine="420" w:firstLineChars="200"/>
              <w:contextualSpacing/>
              <w:rPr>
                <w:rFonts w:ascii="仿宋" w:eastAsia="仿宋" w:cs="仿宋"/>
                <w:szCs w:val="21"/>
              </w:rPr>
            </w:pPr>
            <w:r>
              <w:rPr>
                <w:rFonts w:ascii="仿宋" w:hAnsi="仿宋" w:cs="仿宋"/>
                <w:szCs w:val="21"/>
              </w:rPr>
              <w:t>6</w:t>
            </w:r>
            <w:r>
              <w:rPr>
                <w:rFonts w:hint="eastAsia" w:ascii="仿宋" w:hAnsi="仿宋" w:cs="仿宋"/>
                <w:szCs w:val="21"/>
              </w:rPr>
              <w:t>、符合法律规定的其它要求。</w:t>
            </w:r>
          </w:p>
        </w:tc>
        <w:tc>
          <w:tcPr>
            <w:tcW w:w="425" w:type="dxa"/>
            <w:vAlign w:val="center"/>
          </w:tcPr>
          <w:p w14:paraId="26C61DCE">
            <w:pPr>
              <w:jc w:val="center"/>
            </w:pPr>
            <w:r>
              <w:rPr>
                <w:rFonts w:hint="eastAsia" w:ascii="仿宋" w:hAnsi="仿宋" w:cs="仿宋_GB2312"/>
                <w:kern w:val="0"/>
                <w:szCs w:val="21"/>
              </w:rPr>
              <w:t>无偏离</w:t>
            </w:r>
          </w:p>
        </w:tc>
        <w:tc>
          <w:tcPr>
            <w:tcW w:w="709" w:type="dxa"/>
            <w:vMerge w:val="continue"/>
            <w:vAlign w:val="center"/>
          </w:tcPr>
          <w:p w14:paraId="512E2A16">
            <w:pPr>
              <w:tabs>
                <w:tab w:val="left" w:pos="-75"/>
              </w:tabs>
              <w:snapToGrid w:val="0"/>
              <w:ind w:right="-57" w:rightChars="-27"/>
              <w:contextualSpacing/>
              <w:jc w:val="center"/>
              <w:rPr>
                <w:rFonts w:ascii="仿宋" w:eastAsia="仿宋" w:cs="仿宋_GB2312"/>
                <w:kern w:val="0"/>
                <w:szCs w:val="21"/>
              </w:rPr>
            </w:pPr>
          </w:p>
        </w:tc>
        <w:tc>
          <w:tcPr>
            <w:tcW w:w="1418" w:type="dxa"/>
            <w:vMerge w:val="continue"/>
            <w:vAlign w:val="center"/>
          </w:tcPr>
          <w:p w14:paraId="4A2FEA67">
            <w:pPr>
              <w:tabs>
                <w:tab w:val="left" w:pos="-75"/>
              </w:tabs>
              <w:snapToGrid w:val="0"/>
              <w:ind w:right="-57" w:rightChars="-27"/>
              <w:contextualSpacing/>
              <w:jc w:val="left"/>
              <w:rPr>
                <w:rFonts w:ascii="仿宋" w:eastAsia="仿宋" w:cs="仿宋_GB2312"/>
                <w:kern w:val="0"/>
                <w:szCs w:val="21"/>
              </w:rPr>
            </w:pPr>
          </w:p>
        </w:tc>
      </w:tr>
      <w:tr w14:paraId="3E4C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8" w:hRule="atLeast"/>
        </w:trPr>
        <w:tc>
          <w:tcPr>
            <w:tcW w:w="534" w:type="dxa"/>
            <w:vMerge w:val="restart"/>
            <w:vAlign w:val="center"/>
          </w:tcPr>
          <w:p w14:paraId="461D5756">
            <w:pPr>
              <w:adjustRightInd w:val="0"/>
              <w:snapToGrid w:val="0"/>
              <w:contextualSpacing/>
              <w:rPr>
                <w:rFonts w:ascii="宋体" w:cs="黑体"/>
                <w:b/>
                <w:szCs w:val="21"/>
              </w:rPr>
            </w:pPr>
            <w:r>
              <w:rPr>
                <w:rFonts w:hint="eastAsia" w:ascii="宋体" w:hAnsi="宋体" w:cs="黑体"/>
                <w:b/>
                <w:szCs w:val="21"/>
              </w:rPr>
              <w:t>六、服务要求：</w:t>
            </w:r>
          </w:p>
          <w:p w14:paraId="3EDDB4A2">
            <w:pPr>
              <w:adjustRightInd w:val="0"/>
              <w:snapToGrid w:val="0"/>
              <w:ind w:firstLine="480"/>
              <w:contextualSpacing/>
              <w:rPr>
                <w:rFonts w:ascii="仿宋" w:eastAsia="仿宋" w:cs="仿宋_GB2312"/>
                <w:szCs w:val="21"/>
              </w:rPr>
            </w:pPr>
          </w:p>
        </w:tc>
        <w:tc>
          <w:tcPr>
            <w:tcW w:w="2693" w:type="dxa"/>
            <w:vAlign w:val="center"/>
          </w:tcPr>
          <w:p w14:paraId="60BB8F37">
            <w:pPr>
              <w:adjustRightInd w:val="0"/>
              <w:snapToGrid w:val="0"/>
              <w:ind w:firstLine="420" w:firstLineChars="200"/>
              <w:contextualSpacing/>
              <w:rPr>
                <w:rFonts w:ascii="仿宋" w:eastAsia="仿宋" w:cs="仿宋"/>
                <w:color w:val="000000"/>
                <w:szCs w:val="21"/>
              </w:rPr>
            </w:pPr>
            <w:r>
              <w:rPr>
                <w:rFonts w:ascii="仿宋" w:hAnsi="仿宋" w:cs="仿宋"/>
                <w:color w:val="000000"/>
                <w:szCs w:val="21"/>
              </w:rPr>
              <w:t>1</w:t>
            </w:r>
            <w:r>
              <w:rPr>
                <w:rFonts w:hint="eastAsia" w:ascii="仿宋" w:hAnsi="仿宋" w:cs="仿宋"/>
                <w:color w:val="000000"/>
                <w:szCs w:val="21"/>
              </w:rPr>
              <w:t>、运营与管理服务期限：</w:t>
            </w:r>
            <w:r>
              <w:rPr>
                <w:rFonts w:ascii="仿宋" w:hAnsi="仿宋" w:cs="仿宋"/>
                <w:color w:val="000000"/>
                <w:szCs w:val="21"/>
              </w:rPr>
              <w:t>1</w:t>
            </w:r>
            <w:r>
              <w:rPr>
                <w:rFonts w:hint="eastAsia" w:ascii="仿宋" w:hAnsi="仿宋" w:cs="仿宋"/>
                <w:color w:val="000000"/>
                <w:szCs w:val="21"/>
              </w:rPr>
              <w:t>年（以签订合同日期为准），若中标方在合同期内能够保障校车服务安全稳定，校车运营合同到期后，经甲乙双方研究，达成一致意见，可续签</w:t>
            </w:r>
            <w:r>
              <w:rPr>
                <w:rFonts w:ascii="仿宋" w:hAnsi="仿宋" w:cs="仿宋"/>
                <w:color w:val="000000"/>
                <w:szCs w:val="21"/>
              </w:rPr>
              <w:t>2</w:t>
            </w:r>
            <w:r>
              <w:rPr>
                <w:rFonts w:hint="eastAsia" w:ascii="仿宋" w:hAnsi="仿宋" w:cs="仿宋"/>
                <w:color w:val="000000"/>
                <w:szCs w:val="21"/>
              </w:rPr>
              <w:t>年合同。</w:t>
            </w:r>
          </w:p>
        </w:tc>
        <w:tc>
          <w:tcPr>
            <w:tcW w:w="2693" w:type="dxa"/>
            <w:vAlign w:val="center"/>
          </w:tcPr>
          <w:p w14:paraId="11878BA8">
            <w:pPr>
              <w:adjustRightInd w:val="0"/>
              <w:snapToGrid w:val="0"/>
              <w:ind w:firstLine="420" w:firstLineChars="200"/>
              <w:contextualSpacing/>
              <w:rPr>
                <w:rFonts w:ascii="仿宋" w:eastAsia="仿宋" w:cs="仿宋"/>
                <w:color w:val="000000"/>
                <w:szCs w:val="21"/>
              </w:rPr>
            </w:pPr>
            <w:r>
              <w:rPr>
                <w:rFonts w:ascii="仿宋" w:hAnsi="仿宋" w:cs="仿宋"/>
                <w:color w:val="000000"/>
                <w:szCs w:val="21"/>
              </w:rPr>
              <w:t>1</w:t>
            </w:r>
            <w:r>
              <w:rPr>
                <w:rFonts w:hint="eastAsia" w:ascii="仿宋" w:hAnsi="仿宋" w:cs="仿宋"/>
                <w:color w:val="000000"/>
                <w:szCs w:val="21"/>
              </w:rPr>
              <w:t>、运营与管理服务期限：</w:t>
            </w:r>
            <w:r>
              <w:rPr>
                <w:rFonts w:ascii="仿宋" w:hAnsi="仿宋" w:cs="仿宋"/>
                <w:color w:val="000000"/>
                <w:szCs w:val="21"/>
              </w:rPr>
              <w:t>1</w:t>
            </w:r>
            <w:r>
              <w:rPr>
                <w:rFonts w:hint="eastAsia" w:ascii="仿宋" w:hAnsi="仿宋" w:cs="仿宋"/>
                <w:color w:val="000000"/>
                <w:szCs w:val="21"/>
              </w:rPr>
              <w:t>年（以签订合同日期为准），若本公司在合同期内能够保障校车服务安全稳定，校车运营合同到期后，经甲乙双方研究，达成一致意见，可续签</w:t>
            </w:r>
            <w:r>
              <w:rPr>
                <w:rFonts w:ascii="仿宋" w:hAnsi="仿宋" w:cs="仿宋"/>
                <w:color w:val="000000"/>
                <w:szCs w:val="21"/>
              </w:rPr>
              <w:t>2</w:t>
            </w:r>
            <w:r>
              <w:rPr>
                <w:rFonts w:hint="eastAsia" w:ascii="仿宋" w:hAnsi="仿宋" w:cs="仿宋"/>
                <w:color w:val="000000"/>
                <w:szCs w:val="21"/>
              </w:rPr>
              <w:t>年合同。</w:t>
            </w:r>
          </w:p>
        </w:tc>
        <w:tc>
          <w:tcPr>
            <w:tcW w:w="425" w:type="dxa"/>
            <w:vAlign w:val="center"/>
          </w:tcPr>
          <w:p w14:paraId="28210C53">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Merge w:val="restart"/>
            <w:vAlign w:val="center"/>
          </w:tcPr>
          <w:p w14:paraId="6170F38B">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Merge w:val="restart"/>
            <w:vAlign w:val="center"/>
          </w:tcPr>
          <w:p w14:paraId="7013940F">
            <w:pPr>
              <w:tabs>
                <w:tab w:val="left" w:pos="-75"/>
              </w:tabs>
              <w:snapToGrid w:val="0"/>
              <w:ind w:right="-57" w:rightChars="-27"/>
              <w:contextualSpacing/>
              <w:jc w:val="left"/>
              <w:rPr>
                <w:rFonts w:ascii="仿宋" w:eastAsia="仿宋" w:cs="仿宋_GB2312"/>
                <w:kern w:val="0"/>
                <w:szCs w:val="21"/>
              </w:rPr>
            </w:pPr>
            <w:r>
              <w:rPr>
                <w:rFonts w:hint="eastAsia" w:ascii="仿宋" w:hAnsi="仿宋" w:cs="仿宋_GB2312"/>
                <w:kern w:val="0"/>
                <w:szCs w:val="21"/>
              </w:rPr>
              <w:t>服务要求见</w:t>
            </w:r>
            <w:r>
              <w:rPr>
                <w:rFonts w:ascii="仿宋" w:hAnsi="仿宋" w:cs="仿宋_GB2312"/>
                <w:kern w:val="0"/>
                <w:szCs w:val="21"/>
              </w:rPr>
              <w:t>363</w:t>
            </w:r>
            <w:r>
              <w:rPr>
                <w:rFonts w:hint="eastAsia" w:ascii="仿宋" w:hAnsi="仿宋" w:cs="仿宋_GB2312"/>
                <w:kern w:val="0"/>
                <w:szCs w:val="21"/>
              </w:rPr>
              <w:t>页</w:t>
            </w:r>
            <w:r>
              <w:rPr>
                <w:rFonts w:ascii="仿宋" w:hAnsi="仿宋" w:cs="仿宋_GB2312"/>
                <w:kern w:val="0"/>
                <w:szCs w:val="21"/>
              </w:rPr>
              <w:t>-373</w:t>
            </w:r>
            <w:r>
              <w:rPr>
                <w:rFonts w:hint="eastAsia" w:ascii="仿宋" w:hAnsi="仿宋" w:cs="仿宋_GB2312"/>
                <w:kern w:val="0"/>
                <w:szCs w:val="21"/>
              </w:rPr>
              <w:t>页</w:t>
            </w:r>
          </w:p>
        </w:tc>
      </w:tr>
      <w:tr w14:paraId="7F77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trPr>
        <w:tc>
          <w:tcPr>
            <w:tcW w:w="534" w:type="dxa"/>
            <w:vMerge w:val="continue"/>
            <w:vAlign w:val="center"/>
          </w:tcPr>
          <w:p w14:paraId="4E6CBBC6">
            <w:pPr>
              <w:adjustRightInd w:val="0"/>
              <w:snapToGrid w:val="0"/>
              <w:contextualSpacing/>
              <w:rPr>
                <w:rFonts w:ascii="宋体" w:cs="黑体"/>
                <w:b/>
                <w:szCs w:val="21"/>
              </w:rPr>
            </w:pPr>
          </w:p>
        </w:tc>
        <w:tc>
          <w:tcPr>
            <w:tcW w:w="2693" w:type="dxa"/>
            <w:vAlign w:val="center"/>
          </w:tcPr>
          <w:p w14:paraId="40CCAA38">
            <w:pPr>
              <w:adjustRightInd w:val="0"/>
              <w:snapToGrid w:val="0"/>
              <w:ind w:firstLine="420" w:firstLineChars="200"/>
              <w:contextualSpacing/>
              <w:rPr>
                <w:rFonts w:ascii="仿宋" w:eastAsia="仿宋" w:cs="仿宋"/>
                <w:color w:val="000000"/>
                <w:szCs w:val="21"/>
              </w:rPr>
            </w:pPr>
            <w:r>
              <w:rPr>
                <w:rFonts w:ascii="仿宋" w:hAnsi="仿宋" w:cs="仿宋"/>
                <w:color w:val="000000"/>
                <w:szCs w:val="21"/>
              </w:rPr>
              <w:t>2</w:t>
            </w:r>
            <w:r>
              <w:rPr>
                <w:rFonts w:hint="eastAsia" w:ascii="仿宋" w:hAnsi="仿宋" w:cs="仿宋"/>
                <w:color w:val="000000"/>
                <w:szCs w:val="21"/>
              </w:rPr>
              <w:t>、中标方需与学校或学校所属镇（街）政府签订运营合同。合同生效后</w:t>
            </w:r>
            <w:r>
              <w:rPr>
                <w:rFonts w:ascii="仿宋" w:hAnsi="仿宋" w:cs="仿宋"/>
                <w:color w:val="000000"/>
                <w:szCs w:val="21"/>
              </w:rPr>
              <w:t>45</w:t>
            </w:r>
            <w:r>
              <w:rPr>
                <w:rFonts w:hint="eastAsia" w:ascii="仿宋" w:hAnsi="仿宋" w:cs="仿宋"/>
                <w:color w:val="000000"/>
                <w:szCs w:val="21"/>
              </w:rPr>
              <w:t>个日历日内达到运营标准</w:t>
            </w:r>
            <w:r>
              <w:rPr>
                <w:rFonts w:hint="eastAsia" w:ascii="仿宋" w:hAnsi="仿宋" w:cs="仿宋"/>
                <w:szCs w:val="21"/>
              </w:rPr>
              <w:t>并开始运营，每台校车每天最多允许运营次数为</w:t>
            </w:r>
            <w:r>
              <w:rPr>
                <w:rFonts w:ascii="仿宋" w:hAnsi="仿宋" w:cs="仿宋"/>
                <w:szCs w:val="21"/>
              </w:rPr>
              <w:t>2</w:t>
            </w:r>
            <w:r>
              <w:rPr>
                <w:rFonts w:hint="eastAsia" w:ascii="仿宋" w:hAnsi="仿宋" w:cs="仿宋"/>
                <w:szCs w:val="21"/>
              </w:rPr>
              <w:t>趟次。</w:t>
            </w:r>
          </w:p>
        </w:tc>
        <w:tc>
          <w:tcPr>
            <w:tcW w:w="2693" w:type="dxa"/>
            <w:vAlign w:val="center"/>
          </w:tcPr>
          <w:p w14:paraId="72709A00">
            <w:pPr>
              <w:adjustRightInd w:val="0"/>
              <w:snapToGrid w:val="0"/>
              <w:ind w:firstLine="420" w:firstLineChars="200"/>
              <w:contextualSpacing/>
              <w:rPr>
                <w:rFonts w:ascii="仿宋" w:eastAsia="仿宋" w:cs="仿宋"/>
                <w:szCs w:val="21"/>
              </w:rPr>
            </w:pPr>
            <w:r>
              <w:rPr>
                <w:rFonts w:ascii="仿宋" w:hAnsi="仿宋" w:cs="仿宋"/>
                <w:color w:val="000000"/>
                <w:szCs w:val="21"/>
              </w:rPr>
              <w:t>2</w:t>
            </w:r>
            <w:r>
              <w:rPr>
                <w:rFonts w:hint="eastAsia" w:ascii="仿宋" w:hAnsi="仿宋" w:cs="仿宋"/>
                <w:color w:val="000000"/>
                <w:szCs w:val="21"/>
              </w:rPr>
              <w:t>、中标方需与学校或学校所属镇（街）政府签订运营合同。合同生效后</w:t>
            </w:r>
            <w:r>
              <w:rPr>
                <w:rFonts w:ascii="仿宋" w:hAnsi="仿宋" w:cs="仿宋"/>
                <w:color w:val="000000"/>
                <w:szCs w:val="21"/>
              </w:rPr>
              <w:t>45</w:t>
            </w:r>
            <w:r>
              <w:rPr>
                <w:rFonts w:hint="eastAsia" w:ascii="仿宋" w:hAnsi="仿宋" w:cs="仿宋"/>
                <w:color w:val="000000"/>
                <w:szCs w:val="21"/>
              </w:rPr>
              <w:t>个日历日内达到运营标准</w:t>
            </w:r>
            <w:r>
              <w:rPr>
                <w:rFonts w:hint="eastAsia" w:ascii="仿宋" w:hAnsi="仿宋" w:cs="仿宋"/>
                <w:szCs w:val="21"/>
              </w:rPr>
              <w:t>并开始运营，每台校车每天最多允许运营次数为</w:t>
            </w:r>
            <w:r>
              <w:rPr>
                <w:rFonts w:ascii="仿宋" w:hAnsi="仿宋" w:cs="仿宋"/>
                <w:szCs w:val="21"/>
              </w:rPr>
              <w:t>2</w:t>
            </w:r>
            <w:r>
              <w:rPr>
                <w:rFonts w:hint="eastAsia" w:ascii="仿宋" w:hAnsi="仿宋" w:cs="仿宋"/>
                <w:szCs w:val="21"/>
              </w:rPr>
              <w:t>趟次。</w:t>
            </w:r>
          </w:p>
        </w:tc>
        <w:tc>
          <w:tcPr>
            <w:tcW w:w="425" w:type="dxa"/>
            <w:vAlign w:val="center"/>
          </w:tcPr>
          <w:p w14:paraId="237E6779">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Merge w:val="continue"/>
            <w:vAlign w:val="center"/>
          </w:tcPr>
          <w:p w14:paraId="7794F79E">
            <w:pPr>
              <w:tabs>
                <w:tab w:val="left" w:pos="-75"/>
              </w:tabs>
              <w:snapToGrid w:val="0"/>
              <w:ind w:right="-57" w:rightChars="-27"/>
              <w:contextualSpacing/>
              <w:jc w:val="center"/>
              <w:rPr>
                <w:rFonts w:ascii="仿宋" w:eastAsia="仿宋" w:cs="仿宋_GB2312"/>
                <w:kern w:val="0"/>
                <w:szCs w:val="21"/>
              </w:rPr>
            </w:pPr>
          </w:p>
        </w:tc>
        <w:tc>
          <w:tcPr>
            <w:tcW w:w="1418" w:type="dxa"/>
            <w:vMerge w:val="continue"/>
            <w:vAlign w:val="center"/>
          </w:tcPr>
          <w:p w14:paraId="3ADA6CD8">
            <w:pPr>
              <w:tabs>
                <w:tab w:val="left" w:pos="-75"/>
              </w:tabs>
              <w:snapToGrid w:val="0"/>
              <w:ind w:right="-57" w:rightChars="-27"/>
              <w:contextualSpacing/>
              <w:jc w:val="left"/>
              <w:rPr>
                <w:rFonts w:ascii="仿宋" w:eastAsia="仿宋" w:cs="仿宋_GB2312"/>
                <w:kern w:val="0"/>
                <w:szCs w:val="21"/>
              </w:rPr>
            </w:pPr>
          </w:p>
        </w:tc>
      </w:tr>
      <w:tr w14:paraId="10C6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1" w:hRule="atLeast"/>
        </w:trPr>
        <w:tc>
          <w:tcPr>
            <w:tcW w:w="534" w:type="dxa"/>
            <w:vMerge w:val="continue"/>
            <w:vAlign w:val="center"/>
          </w:tcPr>
          <w:p w14:paraId="052605F4">
            <w:pPr>
              <w:adjustRightInd w:val="0"/>
              <w:snapToGrid w:val="0"/>
              <w:contextualSpacing/>
              <w:rPr>
                <w:rFonts w:ascii="宋体" w:cs="黑体"/>
                <w:b/>
                <w:szCs w:val="21"/>
              </w:rPr>
            </w:pPr>
          </w:p>
        </w:tc>
        <w:tc>
          <w:tcPr>
            <w:tcW w:w="2693" w:type="dxa"/>
            <w:vAlign w:val="center"/>
          </w:tcPr>
          <w:p w14:paraId="5147444F">
            <w:pPr>
              <w:adjustRightInd w:val="0"/>
              <w:snapToGrid w:val="0"/>
              <w:ind w:firstLine="420" w:firstLineChars="200"/>
              <w:contextualSpacing/>
              <w:rPr>
                <w:rFonts w:ascii="仿宋" w:eastAsia="仿宋" w:cs="仿宋"/>
                <w:color w:val="000000"/>
                <w:szCs w:val="21"/>
              </w:rPr>
            </w:pPr>
            <w:r>
              <w:rPr>
                <w:rFonts w:ascii="仿宋" w:hAnsi="仿宋" w:cs="仿宋"/>
                <w:szCs w:val="21"/>
              </w:rPr>
              <w:t>3</w:t>
            </w:r>
            <w:r>
              <w:rPr>
                <w:rFonts w:hint="eastAsia" w:ascii="仿宋" w:hAnsi="仿宋" w:cs="仿宋"/>
                <w:szCs w:val="21"/>
              </w:rPr>
              <w:t>、在服务期限内招标方有权调整校车时间、路线等相关内容。在合同期内招标方如发现中标方违反校车安全管理条例，违反合同需要履行的义务和职责，触犯法律法规，招标方有权无条件终止合同。</w:t>
            </w:r>
          </w:p>
        </w:tc>
        <w:tc>
          <w:tcPr>
            <w:tcW w:w="2693" w:type="dxa"/>
            <w:vAlign w:val="center"/>
          </w:tcPr>
          <w:p w14:paraId="23C9E4A5">
            <w:pPr>
              <w:adjustRightInd w:val="0"/>
              <w:snapToGrid w:val="0"/>
              <w:ind w:firstLine="420" w:firstLineChars="200"/>
              <w:contextualSpacing/>
              <w:rPr>
                <w:rFonts w:ascii="仿宋" w:eastAsia="仿宋" w:cs="仿宋"/>
                <w:color w:val="000000"/>
                <w:szCs w:val="21"/>
              </w:rPr>
            </w:pPr>
            <w:r>
              <w:rPr>
                <w:rFonts w:ascii="仿宋" w:hAnsi="仿宋" w:cs="仿宋"/>
                <w:szCs w:val="21"/>
              </w:rPr>
              <w:t>3</w:t>
            </w:r>
            <w:r>
              <w:rPr>
                <w:rFonts w:hint="eastAsia" w:ascii="仿宋" w:hAnsi="仿宋" w:cs="仿宋"/>
                <w:szCs w:val="21"/>
              </w:rPr>
              <w:t>、在服务期限内招标方有权调整校车时间、路线等相关内容。在合同期内招标方如发现中标方违反校车安全管理条例，违反合同需要履行的义务和职责，触犯法律法规，招标方有权无条件终止合同。</w:t>
            </w:r>
          </w:p>
        </w:tc>
        <w:tc>
          <w:tcPr>
            <w:tcW w:w="425" w:type="dxa"/>
            <w:vAlign w:val="center"/>
          </w:tcPr>
          <w:p w14:paraId="77CD65D9">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Merge w:val="restart"/>
            <w:vAlign w:val="center"/>
          </w:tcPr>
          <w:p w14:paraId="1CA250E6">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Merge w:val="restart"/>
            <w:vAlign w:val="center"/>
          </w:tcPr>
          <w:p w14:paraId="72BC6B67">
            <w:pPr>
              <w:tabs>
                <w:tab w:val="left" w:pos="-75"/>
              </w:tabs>
              <w:snapToGrid w:val="0"/>
              <w:ind w:right="-57" w:rightChars="-27"/>
              <w:contextualSpacing/>
              <w:jc w:val="left"/>
              <w:rPr>
                <w:rFonts w:ascii="仿宋" w:eastAsia="仿宋" w:cs="仿宋_GB2312"/>
                <w:kern w:val="0"/>
                <w:szCs w:val="21"/>
              </w:rPr>
            </w:pPr>
          </w:p>
        </w:tc>
      </w:tr>
      <w:tr w14:paraId="4F55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534" w:type="dxa"/>
            <w:vMerge w:val="continue"/>
            <w:vAlign w:val="center"/>
          </w:tcPr>
          <w:p w14:paraId="439F7273">
            <w:pPr>
              <w:adjustRightInd w:val="0"/>
              <w:snapToGrid w:val="0"/>
              <w:contextualSpacing/>
              <w:rPr>
                <w:rFonts w:ascii="宋体" w:cs="黑体"/>
                <w:b/>
                <w:szCs w:val="21"/>
              </w:rPr>
            </w:pPr>
          </w:p>
        </w:tc>
        <w:tc>
          <w:tcPr>
            <w:tcW w:w="2693" w:type="dxa"/>
            <w:vAlign w:val="center"/>
          </w:tcPr>
          <w:p w14:paraId="7AAA4618">
            <w:pPr>
              <w:adjustRightInd w:val="0"/>
              <w:snapToGrid w:val="0"/>
              <w:ind w:firstLine="420" w:firstLineChars="200"/>
              <w:contextualSpacing/>
              <w:rPr>
                <w:rFonts w:ascii="仿宋" w:eastAsia="仿宋" w:cs="仿宋"/>
                <w:color w:val="000000"/>
                <w:szCs w:val="21"/>
              </w:rPr>
            </w:pPr>
            <w:r>
              <w:rPr>
                <w:rFonts w:ascii="仿宋" w:hAnsi="仿宋" w:cs="仿宋"/>
                <w:szCs w:val="21"/>
              </w:rPr>
              <w:t>4</w:t>
            </w:r>
            <w:r>
              <w:rPr>
                <w:rFonts w:hint="eastAsia" w:ascii="仿宋" w:hAnsi="仿宋" w:cs="仿宋"/>
                <w:szCs w:val="21"/>
              </w:rPr>
              <w:t>、根据招标方需要，经双方协商，应根据乘车人员的变化，对校车路线、停靠站点以及线路实际乘车人数调整车型，以保证该线路乘车人均有座位为准。</w:t>
            </w:r>
          </w:p>
        </w:tc>
        <w:tc>
          <w:tcPr>
            <w:tcW w:w="2693" w:type="dxa"/>
            <w:vAlign w:val="center"/>
          </w:tcPr>
          <w:p w14:paraId="17E85420">
            <w:pPr>
              <w:adjustRightInd w:val="0"/>
              <w:snapToGrid w:val="0"/>
              <w:ind w:firstLine="420" w:firstLineChars="200"/>
              <w:contextualSpacing/>
              <w:rPr>
                <w:rFonts w:ascii="仿宋" w:eastAsia="仿宋" w:cs="仿宋"/>
                <w:color w:val="000000"/>
                <w:szCs w:val="21"/>
              </w:rPr>
            </w:pPr>
            <w:r>
              <w:rPr>
                <w:rFonts w:ascii="仿宋" w:hAnsi="仿宋" w:cs="仿宋"/>
                <w:szCs w:val="21"/>
              </w:rPr>
              <w:t>4</w:t>
            </w:r>
            <w:r>
              <w:rPr>
                <w:rFonts w:hint="eastAsia" w:ascii="仿宋" w:hAnsi="仿宋" w:cs="仿宋"/>
                <w:szCs w:val="21"/>
              </w:rPr>
              <w:t>、根据招标方需要，经双方协商，根据乘车人员的变化，对校车路线、停靠站点以及线路实际乘车人数调整车型，以保证该线路乘车人均有座位为准。</w:t>
            </w:r>
          </w:p>
        </w:tc>
        <w:tc>
          <w:tcPr>
            <w:tcW w:w="425" w:type="dxa"/>
            <w:vAlign w:val="center"/>
          </w:tcPr>
          <w:p w14:paraId="5A47304F">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Merge w:val="continue"/>
            <w:vAlign w:val="center"/>
          </w:tcPr>
          <w:p w14:paraId="112402BE">
            <w:pPr>
              <w:tabs>
                <w:tab w:val="left" w:pos="-75"/>
              </w:tabs>
              <w:snapToGrid w:val="0"/>
              <w:ind w:right="-57" w:rightChars="-27"/>
              <w:contextualSpacing/>
              <w:jc w:val="center"/>
              <w:rPr>
                <w:rFonts w:ascii="仿宋" w:eastAsia="仿宋" w:cs="仿宋_GB2312"/>
                <w:kern w:val="0"/>
                <w:szCs w:val="21"/>
              </w:rPr>
            </w:pPr>
          </w:p>
        </w:tc>
        <w:tc>
          <w:tcPr>
            <w:tcW w:w="1418" w:type="dxa"/>
            <w:vMerge w:val="continue"/>
            <w:vAlign w:val="center"/>
          </w:tcPr>
          <w:p w14:paraId="3CD59AC3">
            <w:pPr>
              <w:tabs>
                <w:tab w:val="left" w:pos="-75"/>
              </w:tabs>
              <w:snapToGrid w:val="0"/>
              <w:ind w:right="-57" w:rightChars="-27"/>
              <w:contextualSpacing/>
              <w:jc w:val="left"/>
              <w:rPr>
                <w:rFonts w:ascii="仿宋" w:eastAsia="仿宋" w:cs="仿宋_GB2312"/>
                <w:kern w:val="0"/>
                <w:szCs w:val="21"/>
              </w:rPr>
            </w:pPr>
          </w:p>
        </w:tc>
      </w:tr>
      <w:tr w14:paraId="4B71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1" w:hRule="atLeast"/>
        </w:trPr>
        <w:tc>
          <w:tcPr>
            <w:tcW w:w="534" w:type="dxa"/>
            <w:vMerge w:val="continue"/>
            <w:vAlign w:val="center"/>
          </w:tcPr>
          <w:p w14:paraId="0881C431">
            <w:pPr>
              <w:adjustRightInd w:val="0"/>
              <w:snapToGrid w:val="0"/>
              <w:contextualSpacing/>
              <w:rPr>
                <w:rFonts w:ascii="宋体" w:cs="黑体"/>
                <w:b/>
                <w:szCs w:val="21"/>
              </w:rPr>
            </w:pPr>
          </w:p>
        </w:tc>
        <w:tc>
          <w:tcPr>
            <w:tcW w:w="2693" w:type="dxa"/>
            <w:vAlign w:val="center"/>
          </w:tcPr>
          <w:p w14:paraId="41DADD4E">
            <w:pPr>
              <w:adjustRightInd w:val="0"/>
              <w:snapToGrid w:val="0"/>
              <w:ind w:firstLine="420" w:firstLineChars="200"/>
              <w:contextualSpacing/>
              <w:rPr>
                <w:rFonts w:ascii="仿宋" w:eastAsia="仿宋" w:cs="仿宋"/>
                <w:color w:val="000000"/>
                <w:szCs w:val="21"/>
              </w:rPr>
            </w:pPr>
            <w:r>
              <w:rPr>
                <w:rFonts w:ascii="仿宋" w:hAnsi="仿宋" w:cs="仿宋"/>
                <w:szCs w:val="21"/>
              </w:rPr>
              <w:t>5</w:t>
            </w:r>
            <w:r>
              <w:rPr>
                <w:rFonts w:hint="eastAsia" w:ascii="仿宋" w:hAnsi="仿宋" w:cs="仿宋"/>
                <w:szCs w:val="21"/>
              </w:rPr>
              <w:t>、中标方要严格按照合同规定及校方与学生家长要求准时发车，如发生停车、车损等特殊情况，及时派车替补接应，将乘车学生尽快送往学校，因校车运营而延误学生上学时间，所产生的相关费用由中标方全部承担。</w:t>
            </w:r>
          </w:p>
        </w:tc>
        <w:tc>
          <w:tcPr>
            <w:tcW w:w="2693" w:type="dxa"/>
            <w:vAlign w:val="center"/>
          </w:tcPr>
          <w:p w14:paraId="74C91FC8">
            <w:pPr>
              <w:adjustRightInd w:val="0"/>
              <w:snapToGrid w:val="0"/>
              <w:ind w:firstLine="420" w:firstLineChars="200"/>
              <w:contextualSpacing/>
              <w:rPr>
                <w:rFonts w:ascii="仿宋" w:eastAsia="仿宋" w:cs="仿宋"/>
                <w:color w:val="000000"/>
                <w:szCs w:val="21"/>
              </w:rPr>
            </w:pPr>
            <w:r>
              <w:rPr>
                <w:rFonts w:ascii="仿宋" w:hAnsi="仿宋" w:cs="仿宋"/>
                <w:szCs w:val="21"/>
              </w:rPr>
              <w:t>5</w:t>
            </w:r>
            <w:r>
              <w:rPr>
                <w:rFonts w:hint="eastAsia" w:ascii="仿宋" w:hAnsi="仿宋" w:cs="仿宋"/>
                <w:szCs w:val="21"/>
              </w:rPr>
              <w:t>、本公司中标后严格按照合同规定及校方与学生家长要求准时发车，如发生停车、车损等特殊情况，及时派车替补接应，将乘车学生尽快送往学校，因校车运营而延误学生上学时间，所产生的相关费用由中标方全部承担。</w:t>
            </w:r>
          </w:p>
        </w:tc>
        <w:tc>
          <w:tcPr>
            <w:tcW w:w="425" w:type="dxa"/>
            <w:vAlign w:val="center"/>
          </w:tcPr>
          <w:p w14:paraId="592177E9">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Merge w:val="continue"/>
            <w:vAlign w:val="center"/>
          </w:tcPr>
          <w:p w14:paraId="55A14F61">
            <w:pPr>
              <w:tabs>
                <w:tab w:val="left" w:pos="-75"/>
              </w:tabs>
              <w:snapToGrid w:val="0"/>
              <w:ind w:right="-57" w:rightChars="-27"/>
              <w:contextualSpacing/>
              <w:jc w:val="center"/>
              <w:rPr>
                <w:rFonts w:ascii="仿宋" w:eastAsia="仿宋" w:cs="仿宋_GB2312"/>
                <w:kern w:val="0"/>
                <w:szCs w:val="21"/>
              </w:rPr>
            </w:pPr>
          </w:p>
        </w:tc>
        <w:tc>
          <w:tcPr>
            <w:tcW w:w="1418" w:type="dxa"/>
            <w:vMerge w:val="continue"/>
            <w:vAlign w:val="center"/>
          </w:tcPr>
          <w:p w14:paraId="696529E2">
            <w:pPr>
              <w:tabs>
                <w:tab w:val="left" w:pos="-75"/>
              </w:tabs>
              <w:snapToGrid w:val="0"/>
              <w:ind w:right="-57" w:rightChars="-27"/>
              <w:contextualSpacing/>
              <w:jc w:val="left"/>
              <w:rPr>
                <w:rFonts w:ascii="仿宋" w:eastAsia="仿宋" w:cs="仿宋_GB2312"/>
                <w:kern w:val="0"/>
                <w:szCs w:val="21"/>
              </w:rPr>
            </w:pPr>
          </w:p>
        </w:tc>
      </w:tr>
      <w:tr w14:paraId="5ED6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9" w:hRule="atLeast"/>
        </w:trPr>
        <w:tc>
          <w:tcPr>
            <w:tcW w:w="534" w:type="dxa"/>
            <w:vMerge w:val="continue"/>
            <w:vAlign w:val="center"/>
          </w:tcPr>
          <w:p w14:paraId="283A6267">
            <w:pPr>
              <w:adjustRightInd w:val="0"/>
              <w:snapToGrid w:val="0"/>
              <w:contextualSpacing/>
              <w:rPr>
                <w:rFonts w:ascii="宋体" w:cs="黑体"/>
                <w:b/>
                <w:szCs w:val="21"/>
              </w:rPr>
            </w:pPr>
          </w:p>
        </w:tc>
        <w:tc>
          <w:tcPr>
            <w:tcW w:w="2693" w:type="dxa"/>
            <w:vAlign w:val="center"/>
          </w:tcPr>
          <w:p w14:paraId="49DFE40C">
            <w:pPr>
              <w:adjustRightInd w:val="0"/>
              <w:snapToGrid w:val="0"/>
              <w:ind w:firstLine="420" w:firstLineChars="200"/>
              <w:contextualSpacing/>
              <w:rPr>
                <w:rFonts w:ascii="仿宋" w:eastAsia="仿宋" w:cs="仿宋"/>
                <w:color w:val="000000"/>
                <w:szCs w:val="21"/>
              </w:rPr>
            </w:pPr>
            <w:r>
              <w:rPr>
                <w:rFonts w:ascii="仿宋" w:hAnsi="仿宋" w:cs="仿宋"/>
                <w:szCs w:val="21"/>
              </w:rPr>
              <w:t>6</w:t>
            </w:r>
            <w:r>
              <w:rPr>
                <w:rFonts w:hint="eastAsia" w:ascii="仿宋" w:hAnsi="仿宋" w:cs="仿宋"/>
                <w:szCs w:val="21"/>
              </w:rPr>
              <w:t>、中标方需为每台校车安装</w:t>
            </w:r>
            <w:r>
              <w:rPr>
                <w:rFonts w:ascii="仿宋" w:hAnsi="仿宋" w:cs="仿宋"/>
                <w:szCs w:val="21"/>
              </w:rPr>
              <w:t>GPS</w:t>
            </w:r>
            <w:r>
              <w:rPr>
                <w:rFonts w:hint="eastAsia" w:ascii="仿宋" w:hAnsi="仿宋" w:cs="仿宋"/>
                <w:szCs w:val="21"/>
              </w:rPr>
              <w:t>定位系统，以备随时掌握校车位置，并搭建、安装监控平台，确保招标方能够随时查看校车运行以及车内情况，实现对全部校车的实时监控。</w:t>
            </w:r>
          </w:p>
        </w:tc>
        <w:tc>
          <w:tcPr>
            <w:tcW w:w="2693" w:type="dxa"/>
            <w:vAlign w:val="center"/>
          </w:tcPr>
          <w:p w14:paraId="05BCBD7D">
            <w:pPr>
              <w:adjustRightInd w:val="0"/>
              <w:snapToGrid w:val="0"/>
              <w:ind w:firstLine="420" w:firstLineChars="200"/>
              <w:contextualSpacing/>
              <w:rPr>
                <w:rFonts w:ascii="仿宋" w:eastAsia="仿宋" w:cs="仿宋"/>
                <w:color w:val="000000"/>
                <w:szCs w:val="21"/>
              </w:rPr>
            </w:pPr>
            <w:r>
              <w:rPr>
                <w:rFonts w:ascii="仿宋" w:hAnsi="仿宋" w:cs="仿宋"/>
                <w:szCs w:val="21"/>
              </w:rPr>
              <w:t>6</w:t>
            </w:r>
            <w:r>
              <w:rPr>
                <w:rFonts w:hint="eastAsia" w:ascii="仿宋" w:hAnsi="仿宋" w:cs="仿宋"/>
                <w:szCs w:val="21"/>
              </w:rPr>
              <w:t>、本公司为每台校车安装</w:t>
            </w:r>
            <w:r>
              <w:rPr>
                <w:rFonts w:ascii="仿宋" w:hAnsi="仿宋" w:cs="仿宋"/>
                <w:szCs w:val="21"/>
              </w:rPr>
              <w:t>GPS</w:t>
            </w:r>
            <w:r>
              <w:rPr>
                <w:rFonts w:hint="eastAsia" w:ascii="仿宋" w:hAnsi="仿宋" w:cs="仿宋"/>
                <w:szCs w:val="21"/>
              </w:rPr>
              <w:t>定位系统，以备随时掌握校车位置，并搭建、安装监控平台，确保招标方能够随时查看校车运行以及车内情况，实现对全部校车的实时监控。</w:t>
            </w:r>
          </w:p>
        </w:tc>
        <w:tc>
          <w:tcPr>
            <w:tcW w:w="425" w:type="dxa"/>
            <w:vAlign w:val="center"/>
          </w:tcPr>
          <w:p w14:paraId="5C97E6A0">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Merge w:val="continue"/>
            <w:vAlign w:val="center"/>
          </w:tcPr>
          <w:p w14:paraId="73A2BDB4">
            <w:pPr>
              <w:tabs>
                <w:tab w:val="left" w:pos="-75"/>
              </w:tabs>
              <w:snapToGrid w:val="0"/>
              <w:ind w:right="-57" w:rightChars="-27"/>
              <w:contextualSpacing/>
              <w:jc w:val="center"/>
              <w:rPr>
                <w:rFonts w:ascii="仿宋" w:eastAsia="仿宋" w:cs="仿宋_GB2312"/>
                <w:kern w:val="0"/>
                <w:szCs w:val="21"/>
              </w:rPr>
            </w:pPr>
          </w:p>
        </w:tc>
        <w:tc>
          <w:tcPr>
            <w:tcW w:w="1418" w:type="dxa"/>
            <w:vMerge w:val="continue"/>
            <w:vAlign w:val="center"/>
          </w:tcPr>
          <w:p w14:paraId="74CBDB36">
            <w:pPr>
              <w:tabs>
                <w:tab w:val="left" w:pos="-75"/>
              </w:tabs>
              <w:snapToGrid w:val="0"/>
              <w:ind w:right="-57" w:rightChars="-27"/>
              <w:contextualSpacing/>
              <w:jc w:val="left"/>
              <w:rPr>
                <w:rFonts w:ascii="仿宋" w:eastAsia="仿宋" w:cs="仿宋_GB2312"/>
                <w:kern w:val="0"/>
                <w:szCs w:val="21"/>
              </w:rPr>
            </w:pPr>
          </w:p>
        </w:tc>
      </w:tr>
      <w:tr w14:paraId="7814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1" w:hRule="atLeast"/>
        </w:trPr>
        <w:tc>
          <w:tcPr>
            <w:tcW w:w="534" w:type="dxa"/>
            <w:vMerge w:val="continue"/>
            <w:vAlign w:val="center"/>
          </w:tcPr>
          <w:p w14:paraId="184361CC">
            <w:pPr>
              <w:adjustRightInd w:val="0"/>
              <w:snapToGrid w:val="0"/>
              <w:contextualSpacing/>
              <w:rPr>
                <w:rFonts w:ascii="宋体" w:cs="黑体"/>
                <w:b/>
                <w:szCs w:val="21"/>
              </w:rPr>
            </w:pPr>
          </w:p>
        </w:tc>
        <w:tc>
          <w:tcPr>
            <w:tcW w:w="2693" w:type="dxa"/>
            <w:vAlign w:val="center"/>
          </w:tcPr>
          <w:p w14:paraId="352508C4">
            <w:pPr>
              <w:adjustRightInd w:val="0"/>
              <w:snapToGrid w:val="0"/>
              <w:ind w:firstLine="420" w:firstLineChars="200"/>
              <w:contextualSpacing/>
              <w:rPr>
                <w:rFonts w:ascii="仿宋" w:eastAsia="仿宋" w:cs="仿宋"/>
                <w:color w:val="000000"/>
                <w:szCs w:val="21"/>
              </w:rPr>
            </w:pPr>
            <w:r>
              <w:rPr>
                <w:rFonts w:ascii="仿宋" w:hAnsi="仿宋" w:cs="仿宋"/>
                <w:szCs w:val="21"/>
              </w:rPr>
              <w:t>7</w:t>
            </w:r>
            <w:r>
              <w:rPr>
                <w:rFonts w:hint="eastAsia" w:ascii="仿宋" w:hAnsi="仿宋" w:cs="仿宋"/>
                <w:szCs w:val="21"/>
              </w:rPr>
              <w:t>、校车在不运营期间必须在固定地点停放，未经招标方允许，不能擅自离开停放地点或私自承接其他运营活动。</w:t>
            </w:r>
            <w:r>
              <w:rPr>
                <w:rFonts w:hint="eastAsia" w:ascii="仿宋" w:hAnsi="仿宋" w:cs="仿宋"/>
                <w:color w:val="000000"/>
                <w:szCs w:val="21"/>
              </w:rPr>
              <w:t>并在鞍有定点维修厂家，保证校车安全运行。</w:t>
            </w:r>
          </w:p>
        </w:tc>
        <w:tc>
          <w:tcPr>
            <w:tcW w:w="2693" w:type="dxa"/>
            <w:vAlign w:val="center"/>
          </w:tcPr>
          <w:p w14:paraId="704499E7">
            <w:pPr>
              <w:adjustRightInd w:val="0"/>
              <w:snapToGrid w:val="0"/>
              <w:ind w:firstLine="420" w:firstLineChars="200"/>
              <w:contextualSpacing/>
              <w:rPr>
                <w:rFonts w:ascii="仿宋" w:eastAsia="仿宋" w:cs="仿宋"/>
                <w:color w:val="000000"/>
                <w:szCs w:val="21"/>
              </w:rPr>
            </w:pPr>
            <w:r>
              <w:rPr>
                <w:rFonts w:ascii="仿宋" w:hAnsi="仿宋" w:cs="仿宋"/>
                <w:szCs w:val="21"/>
              </w:rPr>
              <w:t>7</w:t>
            </w:r>
            <w:r>
              <w:rPr>
                <w:rFonts w:hint="eastAsia" w:ascii="仿宋" w:hAnsi="仿宋" w:cs="仿宋"/>
                <w:szCs w:val="21"/>
              </w:rPr>
              <w:t>、校车在不运营期间在固定地点停放，未经招标方允许，不会擅自离开停放地点或私自承接其他运营活动。</w:t>
            </w:r>
            <w:r>
              <w:rPr>
                <w:rFonts w:hint="eastAsia" w:ascii="仿宋" w:hAnsi="仿宋" w:cs="仿宋"/>
                <w:color w:val="000000"/>
                <w:szCs w:val="21"/>
              </w:rPr>
              <w:t>并在鞍有定点维修厂家，保证校车安全运行。</w:t>
            </w:r>
          </w:p>
        </w:tc>
        <w:tc>
          <w:tcPr>
            <w:tcW w:w="425" w:type="dxa"/>
            <w:vAlign w:val="center"/>
          </w:tcPr>
          <w:p w14:paraId="3146DE88">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Merge w:val="continue"/>
            <w:vAlign w:val="center"/>
          </w:tcPr>
          <w:p w14:paraId="66BFE78D">
            <w:pPr>
              <w:tabs>
                <w:tab w:val="left" w:pos="-75"/>
              </w:tabs>
              <w:snapToGrid w:val="0"/>
              <w:ind w:right="-57" w:rightChars="-27"/>
              <w:contextualSpacing/>
              <w:jc w:val="center"/>
              <w:rPr>
                <w:rFonts w:ascii="仿宋" w:eastAsia="仿宋" w:cs="仿宋_GB2312"/>
                <w:kern w:val="0"/>
                <w:szCs w:val="21"/>
              </w:rPr>
            </w:pPr>
          </w:p>
        </w:tc>
        <w:tc>
          <w:tcPr>
            <w:tcW w:w="1418" w:type="dxa"/>
            <w:vMerge w:val="continue"/>
            <w:vAlign w:val="center"/>
          </w:tcPr>
          <w:p w14:paraId="78CB386E">
            <w:pPr>
              <w:tabs>
                <w:tab w:val="left" w:pos="-75"/>
              </w:tabs>
              <w:snapToGrid w:val="0"/>
              <w:ind w:right="-57" w:rightChars="-27"/>
              <w:contextualSpacing/>
              <w:jc w:val="left"/>
              <w:rPr>
                <w:rFonts w:ascii="仿宋" w:eastAsia="仿宋" w:cs="仿宋_GB2312"/>
                <w:kern w:val="0"/>
                <w:szCs w:val="21"/>
              </w:rPr>
            </w:pPr>
          </w:p>
        </w:tc>
      </w:tr>
      <w:tr w14:paraId="1A8E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8" w:hRule="atLeast"/>
        </w:trPr>
        <w:tc>
          <w:tcPr>
            <w:tcW w:w="534" w:type="dxa"/>
            <w:vMerge w:val="continue"/>
            <w:vAlign w:val="center"/>
          </w:tcPr>
          <w:p w14:paraId="7E15FF52">
            <w:pPr>
              <w:adjustRightInd w:val="0"/>
              <w:snapToGrid w:val="0"/>
              <w:contextualSpacing/>
              <w:rPr>
                <w:rFonts w:ascii="宋体" w:cs="黑体"/>
                <w:b/>
                <w:szCs w:val="21"/>
              </w:rPr>
            </w:pPr>
          </w:p>
        </w:tc>
        <w:tc>
          <w:tcPr>
            <w:tcW w:w="2693" w:type="dxa"/>
            <w:vAlign w:val="center"/>
          </w:tcPr>
          <w:p w14:paraId="486595B9">
            <w:pPr>
              <w:adjustRightInd w:val="0"/>
              <w:snapToGrid w:val="0"/>
              <w:ind w:firstLine="420" w:firstLineChars="200"/>
              <w:contextualSpacing/>
              <w:rPr>
                <w:rFonts w:ascii="仿宋" w:eastAsia="仿宋" w:cs="仿宋"/>
                <w:color w:val="000000"/>
                <w:szCs w:val="21"/>
              </w:rPr>
            </w:pPr>
            <w:r>
              <w:rPr>
                <w:rFonts w:ascii="仿宋" w:hAnsi="仿宋" w:cs="仿宋"/>
                <w:szCs w:val="21"/>
              </w:rPr>
              <w:t>8</w:t>
            </w:r>
            <w:r>
              <w:rPr>
                <w:rFonts w:hint="eastAsia" w:ascii="仿宋" w:hAnsi="仿宋" w:cs="仿宋"/>
                <w:szCs w:val="21"/>
              </w:rPr>
              <w:t>、每月初，校车公司对服务学校乘车学生进行统计，并根据路程远近按报价标准收取车费，乘车天数需与学生家长达成一致，不许私自涨价。</w:t>
            </w:r>
          </w:p>
        </w:tc>
        <w:tc>
          <w:tcPr>
            <w:tcW w:w="2693" w:type="dxa"/>
            <w:vAlign w:val="center"/>
          </w:tcPr>
          <w:p w14:paraId="4DB51F03">
            <w:pPr>
              <w:adjustRightInd w:val="0"/>
              <w:snapToGrid w:val="0"/>
              <w:ind w:firstLine="420" w:firstLineChars="200"/>
              <w:contextualSpacing/>
              <w:rPr>
                <w:rFonts w:ascii="仿宋" w:eastAsia="仿宋" w:cs="仿宋"/>
                <w:color w:val="000000"/>
                <w:szCs w:val="21"/>
              </w:rPr>
            </w:pPr>
            <w:r>
              <w:rPr>
                <w:rFonts w:ascii="仿宋" w:hAnsi="仿宋" w:cs="仿宋"/>
                <w:szCs w:val="21"/>
              </w:rPr>
              <w:t>8</w:t>
            </w:r>
            <w:r>
              <w:rPr>
                <w:rFonts w:hint="eastAsia" w:ascii="仿宋" w:hAnsi="仿宋" w:cs="仿宋"/>
                <w:szCs w:val="21"/>
              </w:rPr>
              <w:t>、每月初，校车公司对服务学校乘车学生进行统计，并根据路程远近按报价标准收取车费，乘车天数与学生家长达成一致，不会私自涨价。</w:t>
            </w:r>
          </w:p>
        </w:tc>
        <w:tc>
          <w:tcPr>
            <w:tcW w:w="425" w:type="dxa"/>
            <w:vAlign w:val="center"/>
          </w:tcPr>
          <w:p w14:paraId="51A41AC3">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Merge w:val="continue"/>
            <w:vAlign w:val="center"/>
          </w:tcPr>
          <w:p w14:paraId="5C5CCC68">
            <w:pPr>
              <w:tabs>
                <w:tab w:val="left" w:pos="-75"/>
              </w:tabs>
              <w:snapToGrid w:val="0"/>
              <w:ind w:right="-57" w:rightChars="-27"/>
              <w:contextualSpacing/>
              <w:jc w:val="center"/>
              <w:rPr>
                <w:rFonts w:ascii="仿宋" w:eastAsia="仿宋" w:cs="仿宋_GB2312"/>
                <w:kern w:val="0"/>
                <w:szCs w:val="21"/>
              </w:rPr>
            </w:pPr>
          </w:p>
        </w:tc>
        <w:tc>
          <w:tcPr>
            <w:tcW w:w="1418" w:type="dxa"/>
            <w:vMerge w:val="continue"/>
            <w:vAlign w:val="center"/>
          </w:tcPr>
          <w:p w14:paraId="338B5FA4">
            <w:pPr>
              <w:tabs>
                <w:tab w:val="left" w:pos="-75"/>
              </w:tabs>
              <w:snapToGrid w:val="0"/>
              <w:ind w:right="-57" w:rightChars="-27"/>
              <w:contextualSpacing/>
              <w:jc w:val="left"/>
              <w:rPr>
                <w:rFonts w:ascii="仿宋" w:eastAsia="仿宋" w:cs="仿宋_GB2312"/>
                <w:kern w:val="0"/>
                <w:szCs w:val="21"/>
              </w:rPr>
            </w:pPr>
          </w:p>
        </w:tc>
      </w:tr>
      <w:tr w14:paraId="6581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6" w:hRule="atLeast"/>
        </w:trPr>
        <w:tc>
          <w:tcPr>
            <w:tcW w:w="534" w:type="dxa"/>
            <w:vMerge w:val="continue"/>
            <w:vAlign w:val="center"/>
          </w:tcPr>
          <w:p w14:paraId="24F18FD7">
            <w:pPr>
              <w:adjustRightInd w:val="0"/>
              <w:snapToGrid w:val="0"/>
              <w:contextualSpacing/>
              <w:rPr>
                <w:rFonts w:ascii="宋体" w:cs="黑体"/>
                <w:b/>
                <w:szCs w:val="21"/>
              </w:rPr>
            </w:pPr>
          </w:p>
        </w:tc>
        <w:tc>
          <w:tcPr>
            <w:tcW w:w="2693" w:type="dxa"/>
            <w:vAlign w:val="center"/>
          </w:tcPr>
          <w:p w14:paraId="7E1AC219">
            <w:pPr>
              <w:adjustRightInd w:val="0"/>
              <w:snapToGrid w:val="0"/>
              <w:ind w:firstLine="420" w:firstLineChars="200"/>
              <w:contextualSpacing/>
              <w:rPr>
                <w:rFonts w:ascii="仿宋" w:eastAsia="仿宋" w:cs="仿宋"/>
                <w:color w:val="000000"/>
                <w:szCs w:val="21"/>
              </w:rPr>
            </w:pPr>
            <w:r>
              <w:rPr>
                <w:rFonts w:ascii="仿宋" w:hAnsi="仿宋" w:cs="仿宋"/>
                <w:szCs w:val="21"/>
              </w:rPr>
              <w:t>9</w:t>
            </w:r>
            <w:r>
              <w:rPr>
                <w:rFonts w:hint="eastAsia" w:ascii="仿宋" w:hAnsi="仿宋" w:cs="仿宋"/>
                <w:szCs w:val="21"/>
              </w:rPr>
              <w:t>、镇属学校由当地镇（街）政府支付校车公司补贴款（原大孤山镇学生校车款由东鞍山街道支付），直属学校由学校直接支付补贴款，支付方式以月结的方式于每月月末进行结算（以每月校车实际运营为准）。若中标方与招标方出现纠纷，双方协商解决。</w:t>
            </w:r>
          </w:p>
        </w:tc>
        <w:tc>
          <w:tcPr>
            <w:tcW w:w="2693" w:type="dxa"/>
            <w:vAlign w:val="center"/>
          </w:tcPr>
          <w:p w14:paraId="01727543">
            <w:pPr>
              <w:adjustRightInd w:val="0"/>
              <w:snapToGrid w:val="0"/>
              <w:ind w:firstLine="420" w:firstLineChars="200"/>
              <w:contextualSpacing/>
              <w:rPr>
                <w:rFonts w:ascii="仿宋" w:eastAsia="仿宋" w:cs="仿宋"/>
                <w:color w:val="000000"/>
                <w:szCs w:val="21"/>
              </w:rPr>
            </w:pPr>
            <w:r>
              <w:rPr>
                <w:rFonts w:ascii="仿宋" w:hAnsi="仿宋" w:cs="仿宋"/>
                <w:szCs w:val="21"/>
              </w:rPr>
              <w:t>9</w:t>
            </w:r>
            <w:r>
              <w:rPr>
                <w:rFonts w:hint="eastAsia" w:ascii="仿宋" w:hAnsi="仿宋" w:cs="仿宋"/>
                <w:szCs w:val="21"/>
              </w:rPr>
              <w:t>、镇属学校由当地镇（街）政府支付校车公司补贴款（原大孤山镇学生校车款由东鞍山街道支付），直属学校由学校直接支付补贴款，支付方式以月结的方式于每月月末进行结算（以每月校车实际运营为准）。若中标方与招标方出现纠纷，双方协商解决。</w:t>
            </w:r>
          </w:p>
        </w:tc>
        <w:tc>
          <w:tcPr>
            <w:tcW w:w="425" w:type="dxa"/>
            <w:vAlign w:val="center"/>
          </w:tcPr>
          <w:p w14:paraId="4DEE5BA1">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Merge w:val="restart"/>
            <w:vAlign w:val="center"/>
          </w:tcPr>
          <w:p w14:paraId="39E3A461">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Merge w:val="restart"/>
            <w:vAlign w:val="center"/>
          </w:tcPr>
          <w:p w14:paraId="35EF3E97">
            <w:pPr>
              <w:tabs>
                <w:tab w:val="left" w:pos="-75"/>
              </w:tabs>
              <w:snapToGrid w:val="0"/>
              <w:ind w:right="-57" w:rightChars="-27"/>
              <w:contextualSpacing/>
              <w:jc w:val="left"/>
              <w:rPr>
                <w:rFonts w:ascii="仿宋" w:eastAsia="仿宋" w:cs="仿宋_GB2312"/>
                <w:kern w:val="0"/>
                <w:szCs w:val="21"/>
              </w:rPr>
            </w:pPr>
          </w:p>
        </w:tc>
      </w:tr>
      <w:tr w14:paraId="2619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trPr>
        <w:tc>
          <w:tcPr>
            <w:tcW w:w="534" w:type="dxa"/>
            <w:vMerge w:val="continue"/>
            <w:vAlign w:val="center"/>
          </w:tcPr>
          <w:p w14:paraId="0FA90D75">
            <w:pPr>
              <w:adjustRightInd w:val="0"/>
              <w:snapToGrid w:val="0"/>
              <w:contextualSpacing/>
              <w:rPr>
                <w:rFonts w:ascii="宋体" w:cs="黑体"/>
                <w:b/>
                <w:szCs w:val="21"/>
              </w:rPr>
            </w:pPr>
          </w:p>
        </w:tc>
        <w:tc>
          <w:tcPr>
            <w:tcW w:w="2693" w:type="dxa"/>
            <w:vAlign w:val="center"/>
          </w:tcPr>
          <w:p w14:paraId="2B988EB3">
            <w:pPr>
              <w:adjustRightInd w:val="0"/>
              <w:snapToGrid w:val="0"/>
              <w:ind w:firstLine="420" w:firstLineChars="200"/>
              <w:contextualSpacing/>
              <w:rPr>
                <w:rFonts w:ascii="仿宋" w:eastAsia="仿宋" w:cs="仿宋"/>
                <w:color w:val="000000"/>
                <w:szCs w:val="21"/>
              </w:rPr>
            </w:pPr>
            <w:r>
              <w:rPr>
                <w:rFonts w:ascii="仿宋" w:hAnsi="仿宋" w:cs="仿宋"/>
                <w:szCs w:val="21"/>
              </w:rPr>
              <w:t>10</w:t>
            </w:r>
            <w:r>
              <w:rPr>
                <w:rFonts w:hint="eastAsia" w:ascii="仿宋" w:hAnsi="仿宋" w:cs="仿宋"/>
                <w:szCs w:val="21"/>
              </w:rPr>
              <w:t>、学校需成立校车服务家长委员会，有权对校车公司收费及服务实行监督管理，对运营出现的问题，可提出整改性意见，并通过共同协商达成一致。</w:t>
            </w:r>
          </w:p>
        </w:tc>
        <w:tc>
          <w:tcPr>
            <w:tcW w:w="2693" w:type="dxa"/>
            <w:vAlign w:val="center"/>
          </w:tcPr>
          <w:p w14:paraId="24CE52ED">
            <w:pPr>
              <w:adjustRightInd w:val="0"/>
              <w:snapToGrid w:val="0"/>
              <w:ind w:firstLine="420" w:firstLineChars="200"/>
              <w:contextualSpacing/>
              <w:rPr>
                <w:rFonts w:ascii="仿宋" w:eastAsia="仿宋" w:cs="仿宋"/>
                <w:color w:val="000000"/>
                <w:szCs w:val="21"/>
              </w:rPr>
            </w:pPr>
            <w:r>
              <w:rPr>
                <w:rFonts w:ascii="仿宋" w:hAnsi="仿宋" w:cs="仿宋"/>
                <w:szCs w:val="21"/>
              </w:rPr>
              <w:t>10</w:t>
            </w:r>
            <w:r>
              <w:rPr>
                <w:rFonts w:hint="eastAsia" w:ascii="仿宋" w:hAnsi="仿宋" w:cs="仿宋"/>
                <w:szCs w:val="21"/>
              </w:rPr>
              <w:t>、学校成立校车服务家长委员会，有权对校车公司收费及服务实行监督管理，对运营出现的问题，可提出整改性意见，并通过共同协商达成一致。</w:t>
            </w:r>
          </w:p>
        </w:tc>
        <w:tc>
          <w:tcPr>
            <w:tcW w:w="425" w:type="dxa"/>
            <w:vAlign w:val="center"/>
          </w:tcPr>
          <w:p w14:paraId="77330D82">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Merge w:val="continue"/>
            <w:vAlign w:val="center"/>
          </w:tcPr>
          <w:p w14:paraId="42B05EEA">
            <w:pPr>
              <w:tabs>
                <w:tab w:val="left" w:pos="-75"/>
              </w:tabs>
              <w:snapToGrid w:val="0"/>
              <w:ind w:right="-57" w:rightChars="-27"/>
              <w:contextualSpacing/>
              <w:jc w:val="center"/>
              <w:rPr>
                <w:rFonts w:ascii="仿宋" w:eastAsia="仿宋" w:cs="仿宋_GB2312"/>
                <w:kern w:val="0"/>
                <w:szCs w:val="21"/>
              </w:rPr>
            </w:pPr>
          </w:p>
        </w:tc>
        <w:tc>
          <w:tcPr>
            <w:tcW w:w="1418" w:type="dxa"/>
            <w:vMerge w:val="continue"/>
            <w:vAlign w:val="center"/>
          </w:tcPr>
          <w:p w14:paraId="7BE85A44">
            <w:pPr>
              <w:tabs>
                <w:tab w:val="left" w:pos="-75"/>
              </w:tabs>
              <w:snapToGrid w:val="0"/>
              <w:ind w:right="-57" w:rightChars="-27"/>
              <w:contextualSpacing/>
              <w:jc w:val="left"/>
              <w:rPr>
                <w:rFonts w:ascii="仿宋" w:eastAsia="仿宋" w:cs="仿宋_GB2312"/>
                <w:kern w:val="0"/>
                <w:szCs w:val="21"/>
              </w:rPr>
            </w:pPr>
          </w:p>
        </w:tc>
      </w:tr>
      <w:tr w14:paraId="1BE5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8" w:hRule="atLeast"/>
        </w:trPr>
        <w:tc>
          <w:tcPr>
            <w:tcW w:w="534" w:type="dxa"/>
            <w:vAlign w:val="center"/>
          </w:tcPr>
          <w:p w14:paraId="4A36CA76">
            <w:pPr>
              <w:adjustRightInd w:val="0"/>
              <w:snapToGrid w:val="0"/>
              <w:contextualSpacing/>
              <w:rPr>
                <w:rFonts w:ascii="宋体" w:cs="黑体"/>
                <w:b/>
                <w:szCs w:val="21"/>
              </w:rPr>
            </w:pPr>
            <w:r>
              <w:rPr>
                <w:rFonts w:hint="eastAsia" w:ascii="宋体" w:hAnsi="宋体" w:cs="黑体"/>
                <w:b/>
                <w:szCs w:val="21"/>
              </w:rPr>
              <w:t>七、违约责任：</w:t>
            </w:r>
          </w:p>
          <w:p w14:paraId="3A3B050F">
            <w:pPr>
              <w:adjustRightInd w:val="0"/>
              <w:snapToGrid w:val="0"/>
              <w:ind w:firstLine="420" w:firstLineChars="200"/>
              <w:contextualSpacing/>
              <w:rPr>
                <w:rFonts w:ascii="宋体" w:cs="仿宋_GB2312"/>
                <w:szCs w:val="21"/>
              </w:rPr>
            </w:pPr>
          </w:p>
        </w:tc>
        <w:tc>
          <w:tcPr>
            <w:tcW w:w="2693" w:type="dxa"/>
            <w:vAlign w:val="center"/>
          </w:tcPr>
          <w:p w14:paraId="5D93982A">
            <w:pPr>
              <w:adjustRightInd w:val="0"/>
              <w:snapToGrid w:val="0"/>
              <w:ind w:firstLine="420" w:firstLineChars="200"/>
              <w:contextualSpacing/>
              <w:rPr>
                <w:rFonts w:ascii="仿宋" w:eastAsia="仿宋" w:cs="仿宋"/>
                <w:szCs w:val="21"/>
              </w:rPr>
            </w:pPr>
            <w:r>
              <w:rPr>
                <w:rFonts w:ascii="仿宋" w:hAnsi="仿宋" w:cs="仿宋"/>
                <w:bCs/>
                <w:szCs w:val="21"/>
              </w:rPr>
              <w:t>1</w:t>
            </w:r>
            <w:r>
              <w:rPr>
                <w:rFonts w:hint="eastAsia" w:ascii="仿宋" w:hAnsi="仿宋" w:cs="仿宋"/>
                <w:bCs/>
                <w:szCs w:val="21"/>
              </w:rPr>
              <w:t>、按照</w:t>
            </w:r>
            <w:r>
              <w:rPr>
                <w:rFonts w:hint="eastAsia" w:ascii="仿宋" w:hAnsi="仿宋" w:cs="仿宋"/>
                <w:szCs w:val="21"/>
              </w:rPr>
              <w:t>《校车运营合同》《国家校车安全管理条例》及《中华人民共和国合同法》相关规定，中标方在履行合同期间，如出现违约及违规行为，招标方有权扣除中标方每年校车补贴总款的</w:t>
            </w:r>
            <w:r>
              <w:rPr>
                <w:rFonts w:ascii="仿宋" w:hAnsi="仿宋" w:cs="仿宋"/>
                <w:szCs w:val="21"/>
              </w:rPr>
              <w:t>20%</w:t>
            </w:r>
            <w:r>
              <w:rPr>
                <w:rFonts w:hint="eastAsia" w:ascii="仿宋" w:hAnsi="仿宋" w:cs="仿宋"/>
                <w:szCs w:val="21"/>
              </w:rPr>
              <w:t>作为违约金。</w:t>
            </w:r>
          </w:p>
          <w:p w14:paraId="7FA7EE65">
            <w:pPr>
              <w:adjustRightInd w:val="0"/>
              <w:snapToGrid w:val="0"/>
              <w:ind w:firstLine="420" w:firstLineChars="200"/>
              <w:contextualSpacing/>
              <w:rPr>
                <w:rFonts w:ascii="仿宋" w:eastAsia="仿宋" w:cs="仿宋"/>
                <w:szCs w:val="21"/>
              </w:rPr>
            </w:pPr>
            <w:r>
              <w:rPr>
                <w:rFonts w:ascii="仿宋" w:hAnsi="仿宋" w:cs="仿宋"/>
                <w:szCs w:val="21"/>
              </w:rPr>
              <w:t>2</w:t>
            </w:r>
            <w:r>
              <w:rPr>
                <w:rFonts w:hint="eastAsia" w:ascii="仿宋" w:hAnsi="仿宋" w:cs="仿宋"/>
                <w:szCs w:val="21"/>
              </w:rPr>
              <w:t>、如中标方出现违法违规及经济刑事诉讼案件，出现冻结及查处招标方账户，中标方须承担相应的经济责任和法律责任，同时要提供相应担保及解决措施，并且招标方有权无条件终止合同。</w:t>
            </w:r>
            <w:r>
              <w:rPr>
                <w:rFonts w:ascii="仿宋" w:hAnsi="仿宋" w:cs="仿宋"/>
                <w:szCs w:val="21"/>
              </w:rPr>
              <w:t xml:space="preserve">  </w:t>
            </w:r>
          </w:p>
          <w:p w14:paraId="1E598B9A">
            <w:pPr>
              <w:adjustRightInd w:val="0"/>
              <w:snapToGrid w:val="0"/>
              <w:ind w:firstLine="420" w:firstLineChars="200"/>
              <w:contextualSpacing/>
              <w:rPr>
                <w:rFonts w:ascii="仿宋" w:eastAsia="仿宋" w:cs="仿宋"/>
                <w:szCs w:val="21"/>
              </w:rPr>
            </w:pPr>
            <w:r>
              <w:rPr>
                <w:rFonts w:ascii="仿宋" w:hAnsi="仿宋" w:cs="仿宋"/>
                <w:szCs w:val="21"/>
              </w:rPr>
              <w:t>3</w:t>
            </w:r>
            <w:r>
              <w:rPr>
                <w:rFonts w:hint="eastAsia" w:ascii="仿宋" w:hAnsi="仿宋" w:cs="仿宋"/>
                <w:szCs w:val="21"/>
              </w:rPr>
              <w:t>、校车运营服务完全由中标方自行运营及管理，如发生管理失误、财产损失、事故伤害、经济纠纷、违法违纪等任何责任事故与招标方无关，所有经济损失和法律责任全部由中标方承担。</w:t>
            </w:r>
          </w:p>
          <w:p w14:paraId="0AE8A6DA">
            <w:pPr>
              <w:adjustRightInd w:val="0"/>
              <w:snapToGrid w:val="0"/>
              <w:ind w:firstLine="420" w:firstLineChars="200"/>
              <w:contextualSpacing/>
              <w:rPr>
                <w:rFonts w:ascii="仿宋" w:eastAsia="仿宋" w:cs="仿宋"/>
                <w:szCs w:val="21"/>
              </w:rPr>
            </w:pPr>
            <w:r>
              <w:rPr>
                <w:rFonts w:ascii="仿宋" w:hAnsi="仿宋" w:cs="仿宋"/>
                <w:szCs w:val="21"/>
              </w:rPr>
              <w:t>4</w:t>
            </w:r>
            <w:r>
              <w:rPr>
                <w:rFonts w:hint="eastAsia" w:ascii="仿宋" w:hAnsi="仿宋" w:cs="仿宋"/>
                <w:szCs w:val="21"/>
              </w:rPr>
              <w:t>、中标方所提供的校车，必须是公司自有车辆，如有其它形式车辆存在，招标方有权无条件终止合同，所造成的经济损失及法律责任完全由中标方负责承担。</w:t>
            </w:r>
          </w:p>
        </w:tc>
        <w:tc>
          <w:tcPr>
            <w:tcW w:w="2693" w:type="dxa"/>
            <w:vAlign w:val="center"/>
          </w:tcPr>
          <w:p w14:paraId="1C20E699">
            <w:pPr>
              <w:adjustRightInd w:val="0"/>
              <w:snapToGrid w:val="0"/>
              <w:ind w:firstLine="420" w:firstLineChars="200"/>
              <w:contextualSpacing/>
              <w:rPr>
                <w:rFonts w:ascii="仿宋" w:eastAsia="仿宋" w:cs="仿宋"/>
                <w:szCs w:val="21"/>
              </w:rPr>
            </w:pPr>
            <w:r>
              <w:rPr>
                <w:rFonts w:ascii="仿宋" w:hAnsi="仿宋" w:cs="仿宋"/>
                <w:bCs/>
                <w:szCs w:val="21"/>
              </w:rPr>
              <w:t>1</w:t>
            </w:r>
            <w:r>
              <w:rPr>
                <w:rFonts w:hint="eastAsia" w:ascii="仿宋" w:hAnsi="仿宋" w:cs="仿宋"/>
                <w:bCs/>
                <w:szCs w:val="21"/>
              </w:rPr>
              <w:t>、按照</w:t>
            </w:r>
            <w:r>
              <w:rPr>
                <w:rFonts w:hint="eastAsia" w:ascii="仿宋" w:hAnsi="仿宋" w:cs="仿宋"/>
                <w:szCs w:val="21"/>
              </w:rPr>
              <w:t>《校车运营合同》《国家校车安全管理条例》及《中华人民共和国合同法》相关规定，本公司中标后在履行合同期间，如出现违约及违规行为，招标方有权扣除中标方每年校车补贴总款的</w:t>
            </w:r>
            <w:r>
              <w:rPr>
                <w:rFonts w:ascii="仿宋" w:hAnsi="仿宋" w:cs="仿宋"/>
                <w:szCs w:val="21"/>
              </w:rPr>
              <w:t>20%</w:t>
            </w:r>
            <w:r>
              <w:rPr>
                <w:rFonts w:hint="eastAsia" w:ascii="仿宋" w:hAnsi="仿宋" w:cs="仿宋"/>
                <w:szCs w:val="21"/>
              </w:rPr>
              <w:t>作为违约金。</w:t>
            </w:r>
          </w:p>
          <w:p w14:paraId="22DAA008">
            <w:pPr>
              <w:adjustRightInd w:val="0"/>
              <w:snapToGrid w:val="0"/>
              <w:ind w:firstLine="420" w:firstLineChars="200"/>
              <w:contextualSpacing/>
              <w:rPr>
                <w:rFonts w:ascii="仿宋" w:eastAsia="仿宋" w:cs="仿宋"/>
                <w:szCs w:val="21"/>
              </w:rPr>
            </w:pPr>
            <w:r>
              <w:rPr>
                <w:rFonts w:ascii="仿宋" w:hAnsi="仿宋" w:cs="仿宋"/>
                <w:szCs w:val="21"/>
              </w:rPr>
              <w:t>2</w:t>
            </w:r>
            <w:r>
              <w:rPr>
                <w:rFonts w:hint="eastAsia" w:ascii="仿宋" w:hAnsi="仿宋" w:cs="仿宋"/>
                <w:szCs w:val="21"/>
              </w:rPr>
              <w:t>、如本公司中标后出现违法违规及经济刑事诉讼案件，出现冻结及查处招标方账户，本公司承担相应的经济责任和法律责任，同时要提供相应担保及解决措施，并且招标方有权无条件终止合同。</w:t>
            </w:r>
            <w:r>
              <w:rPr>
                <w:rFonts w:ascii="仿宋" w:hAnsi="仿宋" w:cs="仿宋"/>
                <w:szCs w:val="21"/>
              </w:rPr>
              <w:t xml:space="preserve">  </w:t>
            </w:r>
          </w:p>
          <w:p w14:paraId="7BBD1C3C">
            <w:pPr>
              <w:adjustRightInd w:val="0"/>
              <w:snapToGrid w:val="0"/>
              <w:ind w:firstLine="420" w:firstLineChars="200"/>
              <w:contextualSpacing/>
              <w:rPr>
                <w:rFonts w:ascii="仿宋" w:eastAsia="仿宋" w:cs="仿宋"/>
                <w:szCs w:val="21"/>
              </w:rPr>
            </w:pPr>
            <w:r>
              <w:rPr>
                <w:rFonts w:ascii="仿宋" w:hAnsi="仿宋" w:cs="仿宋"/>
                <w:szCs w:val="21"/>
              </w:rPr>
              <w:t>3</w:t>
            </w:r>
            <w:r>
              <w:rPr>
                <w:rFonts w:hint="eastAsia" w:ascii="仿宋" w:hAnsi="仿宋" w:cs="仿宋"/>
                <w:szCs w:val="21"/>
              </w:rPr>
              <w:t>、校车运营服务完全由中标方自行运营及管理，如发生管理失误、财产损失、事故伤害、经济纠纷、违法违纪等任何责任事故与招标方无关，所有经济损失和法律责任全部由中标方承担。</w:t>
            </w:r>
          </w:p>
          <w:p w14:paraId="350A61AD">
            <w:pPr>
              <w:adjustRightInd w:val="0"/>
              <w:snapToGrid w:val="0"/>
              <w:ind w:firstLine="420" w:firstLineChars="200"/>
              <w:contextualSpacing/>
              <w:rPr>
                <w:rFonts w:ascii="仿宋" w:eastAsia="仿宋" w:cs="仿宋"/>
                <w:szCs w:val="21"/>
              </w:rPr>
            </w:pPr>
            <w:r>
              <w:rPr>
                <w:rFonts w:ascii="仿宋" w:hAnsi="仿宋" w:cs="仿宋"/>
                <w:szCs w:val="21"/>
              </w:rPr>
              <w:t>4</w:t>
            </w:r>
            <w:r>
              <w:rPr>
                <w:rFonts w:hint="eastAsia" w:ascii="仿宋" w:hAnsi="仿宋" w:cs="仿宋"/>
                <w:szCs w:val="21"/>
              </w:rPr>
              <w:t>、本公司所提供的校车，是公司自有车辆，如有其它形式车辆存在，招标方有权无条件终止合同，所造成的经济损失及法律责任完全由中标方负责承担。</w:t>
            </w:r>
          </w:p>
        </w:tc>
        <w:tc>
          <w:tcPr>
            <w:tcW w:w="425" w:type="dxa"/>
            <w:vAlign w:val="center"/>
          </w:tcPr>
          <w:p w14:paraId="63B32387">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Align w:val="center"/>
          </w:tcPr>
          <w:p w14:paraId="6EA12BBA">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Align w:val="center"/>
          </w:tcPr>
          <w:p w14:paraId="3C5E559B">
            <w:pPr>
              <w:tabs>
                <w:tab w:val="left" w:pos="-75"/>
              </w:tabs>
              <w:snapToGrid w:val="0"/>
              <w:ind w:right="-57" w:rightChars="-27"/>
              <w:contextualSpacing/>
              <w:jc w:val="center"/>
              <w:rPr>
                <w:rFonts w:ascii="仿宋" w:eastAsia="仿宋" w:cs="仿宋_GB2312"/>
                <w:kern w:val="0"/>
                <w:szCs w:val="21"/>
              </w:rPr>
            </w:pPr>
          </w:p>
        </w:tc>
      </w:tr>
      <w:tr w14:paraId="4DB2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534" w:type="dxa"/>
            <w:vAlign w:val="center"/>
          </w:tcPr>
          <w:p w14:paraId="119BE617">
            <w:pPr>
              <w:tabs>
                <w:tab w:val="left" w:pos="7560"/>
              </w:tabs>
              <w:adjustRightInd w:val="0"/>
              <w:snapToGrid w:val="0"/>
              <w:contextualSpacing/>
              <w:rPr>
                <w:rFonts w:ascii="宋体" w:cs="仿宋"/>
                <w:b/>
                <w:szCs w:val="21"/>
              </w:rPr>
            </w:pPr>
            <w:r>
              <w:rPr>
                <w:rFonts w:hint="eastAsia" w:ascii="宋体" w:hAnsi="宋体" w:cs="黑体"/>
                <w:b/>
                <w:szCs w:val="21"/>
              </w:rPr>
              <w:t>八、安全措施要求：</w:t>
            </w:r>
            <w:r>
              <w:rPr>
                <w:rFonts w:ascii="宋体" w:cs="黑体"/>
                <w:b/>
                <w:szCs w:val="21"/>
              </w:rPr>
              <w:tab/>
            </w:r>
          </w:p>
          <w:p w14:paraId="05915934">
            <w:pPr>
              <w:adjustRightInd w:val="0"/>
              <w:snapToGrid w:val="0"/>
              <w:ind w:firstLine="420" w:firstLineChars="200"/>
              <w:contextualSpacing/>
              <w:rPr>
                <w:rFonts w:ascii="仿宋" w:eastAsia="仿宋" w:cs="仿宋"/>
                <w:szCs w:val="21"/>
              </w:rPr>
            </w:pPr>
          </w:p>
          <w:p w14:paraId="43BCCE3B">
            <w:pPr>
              <w:adjustRightInd w:val="0"/>
              <w:snapToGrid w:val="0"/>
              <w:ind w:hanging="1"/>
              <w:contextualSpacing/>
              <w:rPr>
                <w:rFonts w:ascii="仿宋" w:eastAsia="仿宋" w:cs="仿宋_GB2312"/>
                <w:szCs w:val="21"/>
              </w:rPr>
            </w:pPr>
          </w:p>
        </w:tc>
        <w:tc>
          <w:tcPr>
            <w:tcW w:w="2693" w:type="dxa"/>
            <w:vAlign w:val="center"/>
          </w:tcPr>
          <w:p w14:paraId="555D2C1B">
            <w:pPr>
              <w:adjustRightInd w:val="0"/>
              <w:snapToGrid w:val="0"/>
              <w:ind w:firstLine="420" w:firstLineChars="200"/>
              <w:contextualSpacing/>
              <w:rPr>
                <w:rFonts w:ascii="仿宋" w:eastAsia="仿宋" w:cs="仿宋"/>
                <w:szCs w:val="21"/>
              </w:rPr>
            </w:pPr>
            <w:r>
              <w:rPr>
                <w:rFonts w:ascii="仿宋" w:hAnsi="仿宋" w:cs="仿宋"/>
                <w:szCs w:val="21"/>
              </w:rPr>
              <w:t>1</w:t>
            </w:r>
            <w:r>
              <w:rPr>
                <w:rFonts w:hint="eastAsia" w:ascii="仿宋" w:hAnsi="仿宋" w:cs="仿宋"/>
                <w:szCs w:val="21"/>
              </w:rPr>
              <w:t>、校车行驶线路应当尽量避开急弯、陡坡、临崖、临水的危险路段。</w:t>
            </w:r>
          </w:p>
          <w:p w14:paraId="3C3AC6A6">
            <w:pPr>
              <w:adjustRightInd w:val="0"/>
              <w:snapToGrid w:val="0"/>
              <w:ind w:firstLine="420" w:firstLineChars="200"/>
              <w:contextualSpacing/>
              <w:rPr>
                <w:rFonts w:ascii="仿宋" w:eastAsia="仿宋" w:cs="仿宋"/>
                <w:szCs w:val="21"/>
              </w:rPr>
            </w:pPr>
            <w:r>
              <w:rPr>
                <w:rFonts w:ascii="仿宋" w:hAnsi="仿宋" w:cs="仿宋"/>
                <w:szCs w:val="21"/>
              </w:rPr>
              <w:t>2</w:t>
            </w:r>
            <w:r>
              <w:rPr>
                <w:rFonts w:hint="eastAsia" w:ascii="仿宋" w:hAnsi="仿宋" w:cs="仿宋"/>
                <w:szCs w:val="21"/>
              </w:rPr>
              <w:t>、校车上下学生时，应当在校车停靠站点停靠；未设校车停靠站点的路段可以在公共交通站台停靠；校车在道路上停车上下学生，应当靠道路右侧停靠，开启危险报警闪光灯，打开停车指示标志；在学生远离校车后可发动校车。</w:t>
            </w:r>
          </w:p>
          <w:p w14:paraId="5BADC286">
            <w:pPr>
              <w:adjustRightInd w:val="0"/>
              <w:snapToGrid w:val="0"/>
              <w:ind w:firstLine="420" w:firstLineChars="200"/>
              <w:contextualSpacing/>
              <w:rPr>
                <w:rFonts w:ascii="仿宋" w:eastAsia="仿宋" w:cs="仿宋"/>
                <w:szCs w:val="21"/>
              </w:rPr>
            </w:pPr>
            <w:r>
              <w:rPr>
                <w:rFonts w:ascii="仿宋" w:hAnsi="仿宋" w:cs="仿宋"/>
                <w:szCs w:val="21"/>
              </w:rPr>
              <w:t>3</w:t>
            </w:r>
            <w:r>
              <w:rPr>
                <w:rFonts w:hint="eastAsia" w:ascii="仿宋" w:hAnsi="仿宋" w:cs="仿宋"/>
                <w:szCs w:val="21"/>
              </w:rPr>
              <w:t>、校车载人不得超过核定的人数，不得以任何理由超员。</w:t>
            </w:r>
          </w:p>
          <w:p w14:paraId="22222CCE">
            <w:pPr>
              <w:adjustRightInd w:val="0"/>
              <w:snapToGrid w:val="0"/>
              <w:ind w:firstLine="420" w:firstLineChars="200"/>
              <w:contextualSpacing/>
              <w:rPr>
                <w:rFonts w:ascii="仿宋" w:eastAsia="仿宋" w:cs="仿宋"/>
                <w:szCs w:val="21"/>
              </w:rPr>
            </w:pPr>
            <w:r>
              <w:rPr>
                <w:rFonts w:ascii="仿宋" w:hAnsi="仿宋" w:cs="仿宋"/>
                <w:szCs w:val="21"/>
              </w:rPr>
              <w:t>4</w:t>
            </w:r>
            <w:r>
              <w:rPr>
                <w:rFonts w:hint="eastAsia" w:ascii="仿宋" w:hAnsi="仿宋" w:cs="仿宋"/>
                <w:szCs w:val="21"/>
              </w:rPr>
              <w:t>、必须遵守交通规则，如违反交通规则，所有相关罚款由中标方负责；如造成交通事故或乘客损伤，受害方有权向中标方索赔，由中标方承担所有责任。</w:t>
            </w:r>
          </w:p>
          <w:p w14:paraId="277C7755">
            <w:pPr>
              <w:adjustRightInd w:val="0"/>
              <w:snapToGrid w:val="0"/>
              <w:ind w:firstLine="420" w:firstLineChars="200"/>
              <w:contextualSpacing/>
              <w:rPr>
                <w:rFonts w:ascii="仿宋" w:eastAsia="仿宋" w:cs="仿宋"/>
                <w:szCs w:val="21"/>
              </w:rPr>
            </w:pPr>
            <w:r>
              <w:rPr>
                <w:rFonts w:ascii="仿宋" w:hAnsi="仿宋" w:cs="仿宋"/>
                <w:szCs w:val="21"/>
              </w:rPr>
              <w:t>5</w:t>
            </w:r>
            <w:r>
              <w:rPr>
                <w:rFonts w:hint="eastAsia" w:ascii="仿宋" w:hAnsi="仿宋" w:cs="仿宋"/>
                <w:szCs w:val="21"/>
              </w:rPr>
              <w:t>、载有学生的校车在高速公路上行驶的最高时速不得超过</w:t>
            </w:r>
            <w:r>
              <w:rPr>
                <w:rFonts w:ascii="仿宋" w:hAnsi="仿宋" w:cs="仿宋"/>
                <w:szCs w:val="21"/>
              </w:rPr>
              <w:t>80</w:t>
            </w:r>
            <w:r>
              <w:rPr>
                <w:rFonts w:hint="eastAsia" w:ascii="仿宋" w:hAnsi="仿宋" w:cs="仿宋"/>
                <w:szCs w:val="21"/>
              </w:rPr>
              <w:t>公里，在其他道路上行驶的最高时速不得超过</w:t>
            </w:r>
            <w:r>
              <w:rPr>
                <w:rFonts w:ascii="仿宋" w:hAnsi="仿宋" w:cs="仿宋"/>
                <w:szCs w:val="21"/>
              </w:rPr>
              <w:t>60</w:t>
            </w:r>
            <w:r>
              <w:rPr>
                <w:rFonts w:hint="eastAsia" w:ascii="仿宋" w:hAnsi="仿宋" w:cs="仿宋"/>
                <w:szCs w:val="21"/>
              </w:rPr>
              <w:t>公里；在急弯、陡坡、窄路、窄桥以及冰雪、泥泞的道路上行驶，或者遇有雾、雨、雪、沙尘、冰雹等低能见度气象条件时，最高时速不得超过</w:t>
            </w:r>
            <w:r>
              <w:rPr>
                <w:rFonts w:ascii="仿宋" w:hAnsi="仿宋" w:cs="仿宋"/>
                <w:szCs w:val="21"/>
              </w:rPr>
              <w:t>20</w:t>
            </w:r>
            <w:r>
              <w:rPr>
                <w:rFonts w:hint="eastAsia" w:ascii="仿宋" w:hAnsi="仿宋" w:cs="仿宋"/>
                <w:szCs w:val="21"/>
              </w:rPr>
              <w:t>公里。</w:t>
            </w:r>
          </w:p>
          <w:p w14:paraId="77EF7D4E">
            <w:pPr>
              <w:adjustRightInd w:val="0"/>
              <w:snapToGrid w:val="0"/>
              <w:ind w:firstLine="420" w:firstLineChars="200"/>
              <w:contextualSpacing/>
              <w:rPr>
                <w:rFonts w:ascii="仿宋" w:eastAsia="仿宋" w:cs="仿宋"/>
                <w:szCs w:val="21"/>
              </w:rPr>
            </w:pPr>
            <w:r>
              <w:rPr>
                <w:rFonts w:ascii="仿宋" w:hAnsi="仿宋" w:cs="仿宋"/>
                <w:szCs w:val="21"/>
              </w:rPr>
              <w:t>6</w:t>
            </w:r>
            <w:r>
              <w:rPr>
                <w:rFonts w:hint="eastAsia" w:ascii="仿宋" w:hAnsi="仿宋" w:cs="仿宋"/>
                <w:szCs w:val="21"/>
              </w:rPr>
              <w:t>、校车驾驶人驾驶校车上道路行驶前，应当对校车的制动、转向、外部照明、轮胎、安全门、座椅、安全带等车况是否符合安全技术要求进行检查，不得驾驶存在安全隐患的校车上道路行驶；校车驾驶人不得在校车载有学生时给车辆加油，不得在校车发动机引擎熄灭前离开驾驶座位。</w:t>
            </w:r>
          </w:p>
          <w:p w14:paraId="4243D107">
            <w:pPr>
              <w:adjustRightInd w:val="0"/>
              <w:snapToGrid w:val="0"/>
              <w:ind w:firstLine="420" w:firstLineChars="200"/>
              <w:contextualSpacing/>
              <w:rPr>
                <w:rFonts w:ascii="仿宋" w:eastAsia="仿宋" w:cs="仿宋"/>
                <w:szCs w:val="21"/>
              </w:rPr>
            </w:pPr>
            <w:r>
              <w:rPr>
                <w:rFonts w:ascii="仿宋" w:hAnsi="仿宋" w:cs="仿宋"/>
                <w:szCs w:val="21"/>
              </w:rPr>
              <w:t>7</w:t>
            </w:r>
            <w:r>
              <w:rPr>
                <w:rFonts w:hint="eastAsia" w:ascii="仿宋" w:hAnsi="仿宋" w:cs="仿宋"/>
                <w:szCs w:val="21"/>
              </w:rPr>
              <w:t>、校车的副驾驶座位不得安排学生乘坐。</w:t>
            </w:r>
          </w:p>
          <w:p w14:paraId="0BE247C7">
            <w:pPr>
              <w:adjustRightInd w:val="0"/>
              <w:snapToGrid w:val="0"/>
              <w:ind w:firstLine="420" w:firstLineChars="200"/>
              <w:contextualSpacing/>
              <w:rPr>
                <w:rFonts w:ascii="仿宋" w:eastAsia="仿宋" w:cs="仿宋"/>
                <w:szCs w:val="21"/>
              </w:rPr>
            </w:pPr>
            <w:r>
              <w:rPr>
                <w:rFonts w:ascii="仿宋" w:hAnsi="仿宋" w:cs="仿宋"/>
                <w:szCs w:val="21"/>
              </w:rPr>
              <w:t>8</w:t>
            </w:r>
            <w:r>
              <w:rPr>
                <w:rFonts w:hint="eastAsia" w:ascii="仿宋" w:hAnsi="仿宋" w:cs="仿宋"/>
                <w:szCs w:val="21"/>
              </w:rPr>
              <w:t>、校车发生交通事故，驾驶人、随车照管人员应当立即报警，设置警示标志。如乘车学生留在校车内存在一定危险，随车照管人员应当将学生及时撤离到安全区域，并迅速与学校、校车服务提供方、学生的监护人联系处理后续事宜。</w:t>
            </w:r>
          </w:p>
          <w:p w14:paraId="3A075E95">
            <w:pPr>
              <w:tabs>
                <w:tab w:val="left" w:pos="0"/>
              </w:tabs>
              <w:adjustRightInd w:val="0"/>
              <w:snapToGrid w:val="0"/>
              <w:contextualSpacing/>
              <w:rPr>
                <w:rFonts w:ascii="仿宋" w:eastAsia="仿宋" w:cs="仿宋"/>
                <w:szCs w:val="21"/>
              </w:rPr>
            </w:pPr>
            <w:r>
              <w:rPr>
                <w:rFonts w:ascii="仿宋" w:hAnsi="仿宋" w:cs="仿宋"/>
                <w:szCs w:val="21"/>
              </w:rPr>
              <w:t>9</w:t>
            </w:r>
            <w:r>
              <w:rPr>
                <w:rFonts w:hint="eastAsia" w:ascii="仿宋" w:hAnsi="仿宋" w:cs="仿宋"/>
                <w:szCs w:val="21"/>
              </w:rPr>
              <w:t>、严格执行国家颁发的《校车安全管理条例》，如违反此条例，将提交有关部门依法依规依条例处理。</w:t>
            </w:r>
          </w:p>
          <w:p w14:paraId="235D6B9D">
            <w:pPr>
              <w:tabs>
                <w:tab w:val="left" w:pos="0"/>
              </w:tabs>
              <w:adjustRightInd w:val="0"/>
              <w:snapToGrid w:val="0"/>
              <w:contextualSpacing/>
              <w:rPr>
                <w:rFonts w:ascii="仿宋" w:eastAsia="仿宋" w:cs="仿宋_GB2312"/>
                <w:kern w:val="0"/>
                <w:szCs w:val="21"/>
              </w:rPr>
            </w:pPr>
            <w:r>
              <w:rPr>
                <w:rFonts w:hint="eastAsia" w:ascii="仿宋" w:hAnsi="仿宋" w:cs="仿宋"/>
                <w:szCs w:val="21"/>
              </w:rPr>
              <w:t>本项目需求未尽事宜，由双方协商并依照相关法律、法规等规定办理。</w:t>
            </w:r>
          </w:p>
        </w:tc>
        <w:tc>
          <w:tcPr>
            <w:tcW w:w="2693" w:type="dxa"/>
            <w:vAlign w:val="center"/>
          </w:tcPr>
          <w:p w14:paraId="6A91B991">
            <w:pPr>
              <w:adjustRightInd w:val="0"/>
              <w:snapToGrid w:val="0"/>
              <w:ind w:firstLine="420" w:firstLineChars="200"/>
              <w:contextualSpacing/>
              <w:rPr>
                <w:rFonts w:ascii="仿宋" w:eastAsia="仿宋" w:cs="仿宋"/>
                <w:szCs w:val="21"/>
              </w:rPr>
            </w:pPr>
            <w:r>
              <w:rPr>
                <w:rFonts w:ascii="仿宋" w:hAnsi="仿宋" w:cs="仿宋"/>
                <w:szCs w:val="21"/>
              </w:rPr>
              <w:t>1</w:t>
            </w:r>
            <w:r>
              <w:rPr>
                <w:rFonts w:hint="eastAsia" w:ascii="仿宋" w:hAnsi="仿宋" w:cs="仿宋"/>
                <w:szCs w:val="21"/>
              </w:rPr>
              <w:t>、校车行驶线路尽量避开急弯、陡坡、临崖、临水的危险路段。</w:t>
            </w:r>
          </w:p>
          <w:p w14:paraId="2DD51E8B">
            <w:pPr>
              <w:adjustRightInd w:val="0"/>
              <w:snapToGrid w:val="0"/>
              <w:ind w:firstLine="420" w:firstLineChars="200"/>
              <w:contextualSpacing/>
              <w:rPr>
                <w:rFonts w:ascii="仿宋" w:eastAsia="仿宋" w:cs="仿宋"/>
                <w:szCs w:val="21"/>
              </w:rPr>
            </w:pPr>
            <w:r>
              <w:rPr>
                <w:rFonts w:ascii="仿宋" w:hAnsi="仿宋" w:cs="仿宋"/>
                <w:szCs w:val="21"/>
              </w:rPr>
              <w:t>2</w:t>
            </w:r>
            <w:r>
              <w:rPr>
                <w:rFonts w:hint="eastAsia" w:ascii="仿宋" w:hAnsi="仿宋" w:cs="仿宋"/>
                <w:szCs w:val="21"/>
              </w:rPr>
              <w:t>、校车上下学生时，在校车停靠站点停靠；未设校车停靠站点的路段在公共交通站台停靠；校车在道路上停车上下学生，靠道路右侧停靠，开启危险报警闪光灯，打开停车指示标志；在学生远离校车后发动校车。</w:t>
            </w:r>
          </w:p>
          <w:p w14:paraId="74D2CF95">
            <w:pPr>
              <w:adjustRightInd w:val="0"/>
              <w:snapToGrid w:val="0"/>
              <w:ind w:firstLine="420" w:firstLineChars="200"/>
              <w:contextualSpacing/>
              <w:rPr>
                <w:rFonts w:ascii="仿宋" w:eastAsia="仿宋" w:cs="仿宋"/>
                <w:szCs w:val="21"/>
              </w:rPr>
            </w:pPr>
            <w:r>
              <w:rPr>
                <w:rFonts w:ascii="仿宋" w:hAnsi="仿宋" w:cs="仿宋"/>
                <w:szCs w:val="21"/>
              </w:rPr>
              <w:t>3</w:t>
            </w:r>
            <w:r>
              <w:rPr>
                <w:rFonts w:hint="eastAsia" w:ascii="仿宋" w:hAnsi="仿宋" w:cs="仿宋"/>
                <w:szCs w:val="21"/>
              </w:rPr>
              <w:t>、校车载人不超过核定的人数，不以任何理由超员。</w:t>
            </w:r>
          </w:p>
          <w:p w14:paraId="7034D540">
            <w:pPr>
              <w:adjustRightInd w:val="0"/>
              <w:snapToGrid w:val="0"/>
              <w:ind w:firstLine="420" w:firstLineChars="200"/>
              <w:contextualSpacing/>
              <w:rPr>
                <w:rFonts w:ascii="仿宋" w:eastAsia="仿宋" w:cs="仿宋"/>
                <w:szCs w:val="21"/>
              </w:rPr>
            </w:pPr>
            <w:r>
              <w:rPr>
                <w:rFonts w:ascii="仿宋" w:hAnsi="仿宋" w:cs="仿宋"/>
                <w:szCs w:val="21"/>
              </w:rPr>
              <w:t>4</w:t>
            </w:r>
            <w:r>
              <w:rPr>
                <w:rFonts w:hint="eastAsia" w:ascii="仿宋" w:hAnsi="仿宋" w:cs="仿宋"/>
                <w:szCs w:val="21"/>
              </w:rPr>
              <w:t>、一定遵守交通规则，如违反交通规则，所有相关罚款由本公司负责；如造成交通事故或乘客损伤，受害方有权向本公司索赔，由中标方承担所有责任。</w:t>
            </w:r>
          </w:p>
          <w:p w14:paraId="019B94A4">
            <w:pPr>
              <w:adjustRightInd w:val="0"/>
              <w:snapToGrid w:val="0"/>
              <w:ind w:firstLine="420" w:firstLineChars="200"/>
              <w:contextualSpacing/>
              <w:rPr>
                <w:rFonts w:ascii="仿宋" w:eastAsia="仿宋" w:cs="仿宋"/>
                <w:szCs w:val="21"/>
              </w:rPr>
            </w:pPr>
            <w:r>
              <w:rPr>
                <w:rFonts w:ascii="仿宋" w:hAnsi="仿宋" w:cs="仿宋"/>
                <w:szCs w:val="21"/>
              </w:rPr>
              <w:t>5</w:t>
            </w:r>
            <w:r>
              <w:rPr>
                <w:rFonts w:hint="eastAsia" w:ascii="仿宋" w:hAnsi="仿宋" w:cs="仿宋"/>
                <w:szCs w:val="21"/>
              </w:rPr>
              <w:t>、载有学生的校车在高速公路上行驶的最高时速不超过</w:t>
            </w:r>
            <w:r>
              <w:rPr>
                <w:rFonts w:ascii="仿宋" w:hAnsi="仿宋" w:cs="仿宋"/>
                <w:szCs w:val="21"/>
              </w:rPr>
              <w:t>80</w:t>
            </w:r>
            <w:r>
              <w:rPr>
                <w:rFonts w:hint="eastAsia" w:ascii="仿宋" w:hAnsi="仿宋" w:cs="仿宋"/>
                <w:szCs w:val="21"/>
              </w:rPr>
              <w:t>公里，在其他道路上行驶的最高时速不超过</w:t>
            </w:r>
            <w:r>
              <w:rPr>
                <w:rFonts w:ascii="仿宋" w:hAnsi="仿宋" w:cs="仿宋"/>
                <w:szCs w:val="21"/>
              </w:rPr>
              <w:t>60</w:t>
            </w:r>
            <w:r>
              <w:rPr>
                <w:rFonts w:hint="eastAsia" w:ascii="仿宋" w:hAnsi="仿宋" w:cs="仿宋"/>
                <w:szCs w:val="21"/>
              </w:rPr>
              <w:t>公里；在急弯、陡坡、窄路、窄桥以及冰雪、泥泞的道路上行驶，或者遇有雾、雨、雪、沙尘、冰雹等低能见度气象条件时，最高时速不超过</w:t>
            </w:r>
            <w:r>
              <w:rPr>
                <w:rFonts w:ascii="仿宋" w:hAnsi="仿宋" w:cs="仿宋"/>
                <w:szCs w:val="21"/>
              </w:rPr>
              <w:t>20</w:t>
            </w:r>
            <w:r>
              <w:rPr>
                <w:rFonts w:hint="eastAsia" w:ascii="仿宋" w:hAnsi="仿宋" w:cs="仿宋"/>
                <w:szCs w:val="21"/>
              </w:rPr>
              <w:t>公里。</w:t>
            </w:r>
          </w:p>
          <w:p w14:paraId="1D1F0904">
            <w:pPr>
              <w:adjustRightInd w:val="0"/>
              <w:snapToGrid w:val="0"/>
              <w:ind w:firstLine="420" w:firstLineChars="200"/>
              <w:contextualSpacing/>
              <w:rPr>
                <w:rFonts w:ascii="仿宋" w:eastAsia="仿宋" w:cs="仿宋"/>
                <w:szCs w:val="21"/>
              </w:rPr>
            </w:pPr>
            <w:r>
              <w:rPr>
                <w:rFonts w:ascii="仿宋" w:hAnsi="仿宋" w:cs="仿宋"/>
                <w:szCs w:val="21"/>
              </w:rPr>
              <w:t>6</w:t>
            </w:r>
            <w:r>
              <w:rPr>
                <w:rFonts w:hint="eastAsia" w:ascii="仿宋" w:hAnsi="仿宋" w:cs="仿宋"/>
                <w:szCs w:val="21"/>
              </w:rPr>
              <w:t>、校车驾驶人驾驶校车上道路行驶前，对校车的制动、转向、外部照明、轮胎、安全门、座椅、安全带等车况是否符合安全技术要求进行检查，不驾驶存在安全隐患的校车上道路行驶；校车驾驶人不在校车载有学生时给车辆加油，不在校车发动机引擎熄灭前离开驾驶座位。</w:t>
            </w:r>
          </w:p>
          <w:p w14:paraId="53B78198">
            <w:pPr>
              <w:adjustRightInd w:val="0"/>
              <w:snapToGrid w:val="0"/>
              <w:ind w:firstLine="420" w:firstLineChars="200"/>
              <w:contextualSpacing/>
              <w:rPr>
                <w:rFonts w:ascii="仿宋" w:eastAsia="仿宋" w:cs="仿宋"/>
                <w:szCs w:val="21"/>
              </w:rPr>
            </w:pPr>
            <w:r>
              <w:rPr>
                <w:rFonts w:ascii="仿宋" w:hAnsi="仿宋" w:cs="仿宋"/>
                <w:szCs w:val="21"/>
              </w:rPr>
              <w:t>7</w:t>
            </w:r>
            <w:r>
              <w:rPr>
                <w:rFonts w:hint="eastAsia" w:ascii="仿宋" w:hAnsi="仿宋" w:cs="仿宋"/>
                <w:szCs w:val="21"/>
              </w:rPr>
              <w:t>、校车的副驾驶座位不安排学生乘坐。</w:t>
            </w:r>
          </w:p>
          <w:p w14:paraId="2768047C">
            <w:pPr>
              <w:adjustRightInd w:val="0"/>
              <w:snapToGrid w:val="0"/>
              <w:ind w:firstLine="420" w:firstLineChars="200"/>
              <w:contextualSpacing/>
              <w:rPr>
                <w:rFonts w:ascii="仿宋" w:eastAsia="仿宋" w:cs="仿宋"/>
                <w:szCs w:val="21"/>
              </w:rPr>
            </w:pPr>
            <w:r>
              <w:rPr>
                <w:rFonts w:ascii="仿宋" w:hAnsi="仿宋" w:cs="仿宋"/>
                <w:szCs w:val="21"/>
              </w:rPr>
              <w:t>8</w:t>
            </w:r>
            <w:r>
              <w:rPr>
                <w:rFonts w:hint="eastAsia" w:ascii="仿宋" w:hAnsi="仿宋" w:cs="仿宋"/>
                <w:szCs w:val="21"/>
              </w:rPr>
              <w:t>、校车发生交通事故，驾驶人、随车照管人员立即报警，设置警示标志。如乘车学生留在校车内存在一定危险，随车照管人员会将学生及时撤离到安全区域，并迅速与学校、校车服务提供方、学生的监护人联系处理后续事宜。</w:t>
            </w:r>
          </w:p>
          <w:p w14:paraId="44D6FC5B">
            <w:pPr>
              <w:tabs>
                <w:tab w:val="left" w:pos="-75"/>
              </w:tabs>
              <w:snapToGrid w:val="0"/>
              <w:ind w:right="-57" w:rightChars="-27"/>
              <w:contextualSpacing/>
              <w:rPr>
                <w:rFonts w:ascii="仿宋" w:eastAsia="仿宋" w:cs="仿宋"/>
                <w:szCs w:val="21"/>
              </w:rPr>
            </w:pPr>
            <w:r>
              <w:rPr>
                <w:rFonts w:ascii="仿宋" w:hAnsi="仿宋" w:cs="仿宋"/>
                <w:szCs w:val="21"/>
              </w:rPr>
              <w:t>9</w:t>
            </w:r>
            <w:r>
              <w:rPr>
                <w:rFonts w:hint="eastAsia" w:ascii="仿宋" w:hAnsi="仿宋" w:cs="仿宋"/>
                <w:szCs w:val="21"/>
              </w:rPr>
              <w:t>、严格执行国家颁发的《校车安全管理条例》，如违反此条例，将提交有关部门依法依规依条例处理。</w:t>
            </w:r>
          </w:p>
          <w:p w14:paraId="06626387">
            <w:pPr>
              <w:tabs>
                <w:tab w:val="left" w:pos="-75"/>
              </w:tabs>
              <w:snapToGrid w:val="0"/>
              <w:ind w:right="-57" w:rightChars="-27"/>
              <w:contextualSpacing/>
              <w:rPr>
                <w:rFonts w:ascii="仿宋" w:eastAsia="仿宋" w:cs="仿宋"/>
                <w:szCs w:val="21"/>
              </w:rPr>
            </w:pPr>
            <w:r>
              <w:rPr>
                <w:rFonts w:hint="eastAsia" w:ascii="仿宋" w:hAnsi="仿宋" w:cs="仿宋"/>
                <w:szCs w:val="21"/>
              </w:rPr>
              <w:t>本项目需求未尽事宜，由双方协商并依照相关法律、法规等规定办理。</w:t>
            </w:r>
          </w:p>
        </w:tc>
        <w:tc>
          <w:tcPr>
            <w:tcW w:w="425" w:type="dxa"/>
            <w:vAlign w:val="center"/>
          </w:tcPr>
          <w:p w14:paraId="19B9446C">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无偏离</w:t>
            </w:r>
          </w:p>
        </w:tc>
        <w:tc>
          <w:tcPr>
            <w:tcW w:w="709" w:type="dxa"/>
            <w:vAlign w:val="center"/>
          </w:tcPr>
          <w:p w14:paraId="59C3B6F6">
            <w:pPr>
              <w:tabs>
                <w:tab w:val="left" w:pos="-75"/>
              </w:tabs>
              <w:snapToGrid w:val="0"/>
              <w:ind w:right="-57" w:rightChars="-27"/>
              <w:contextualSpacing/>
              <w:jc w:val="center"/>
              <w:rPr>
                <w:rFonts w:ascii="仿宋" w:eastAsia="仿宋" w:cs="仿宋_GB2312"/>
                <w:kern w:val="0"/>
                <w:szCs w:val="21"/>
              </w:rPr>
            </w:pPr>
            <w:r>
              <w:rPr>
                <w:rFonts w:hint="eastAsia" w:ascii="仿宋" w:hAnsi="仿宋" w:cs="仿宋_GB2312"/>
                <w:kern w:val="0"/>
                <w:szCs w:val="21"/>
              </w:rPr>
              <w:t>无</w:t>
            </w:r>
          </w:p>
        </w:tc>
        <w:tc>
          <w:tcPr>
            <w:tcW w:w="1418" w:type="dxa"/>
            <w:vAlign w:val="center"/>
          </w:tcPr>
          <w:p w14:paraId="7C867276">
            <w:pPr>
              <w:tabs>
                <w:tab w:val="left" w:pos="-75"/>
              </w:tabs>
              <w:snapToGrid w:val="0"/>
              <w:ind w:right="-57" w:rightChars="-27"/>
              <w:contextualSpacing/>
              <w:jc w:val="center"/>
              <w:rPr>
                <w:rFonts w:ascii="仿宋" w:eastAsia="仿宋" w:cs="仿宋_GB2312"/>
                <w:kern w:val="0"/>
                <w:szCs w:val="21"/>
              </w:rPr>
            </w:pPr>
          </w:p>
        </w:tc>
      </w:tr>
    </w:tbl>
    <w:p w14:paraId="058447EA">
      <w:pPr>
        <w:adjustRightInd w:val="0"/>
        <w:ind w:right="105" w:rightChars="50"/>
        <w:contextualSpacing/>
        <w:jc w:val="left"/>
        <w:rPr>
          <w:rFonts w:ascii="仿宋" w:eastAsia="仿宋" w:cs="仿宋_GB2312"/>
          <w:b/>
          <w:szCs w:val="21"/>
        </w:rPr>
      </w:pPr>
      <w:r>
        <w:rPr>
          <w:rFonts w:hint="eastAsia" w:ascii="仿宋" w:hAnsi="仿宋" w:cs="仿宋_GB2312"/>
          <w:b/>
          <w:szCs w:val="21"/>
        </w:rPr>
        <w:t>填表要求：</w:t>
      </w:r>
    </w:p>
    <w:p w14:paraId="7F11AE71">
      <w:pPr>
        <w:adjustRightInd w:val="0"/>
        <w:spacing w:line="360" w:lineRule="auto"/>
        <w:contextualSpacing/>
        <w:rPr>
          <w:rFonts w:ascii="仿宋" w:eastAsia="仿宋" w:cs="仿宋_GB2312"/>
          <w:szCs w:val="21"/>
        </w:rPr>
      </w:pPr>
      <w:r>
        <w:rPr>
          <w:rFonts w:ascii="仿宋" w:hAnsi="仿宋" w:cs="仿宋_GB2312"/>
          <w:szCs w:val="21"/>
        </w:rPr>
        <w:t>1</w:t>
      </w:r>
      <w:r>
        <w:rPr>
          <w:rFonts w:hint="eastAsia" w:ascii="仿宋" w:hAnsi="仿宋" w:cs="仿宋_GB2312"/>
          <w:szCs w:val="21"/>
        </w:rPr>
        <w:t>．“投标文件响应内容”一栏由投标人按照招标文件要求填写并进行逐项响应。</w:t>
      </w:r>
    </w:p>
    <w:p w14:paraId="53C3FE4E">
      <w:pPr>
        <w:adjustRightInd w:val="0"/>
        <w:spacing w:line="360" w:lineRule="auto"/>
        <w:contextualSpacing/>
        <w:rPr>
          <w:rFonts w:ascii="仿宋" w:eastAsia="仿宋" w:cs="仿宋_GB2312"/>
          <w:szCs w:val="21"/>
        </w:rPr>
      </w:pPr>
      <w:r>
        <w:rPr>
          <w:rFonts w:ascii="仿宋" w:hAnsi="仿宋" w:cs="仿宋_GB2312"/>
          <w:szCs w:val="21"/>
        </w:rPr>
        <w:t>2</w:t>
      </w:r>
      <w:r>
        <w:rPr>
          <w:rFonts w:hint="eastAsia" w:ascii="仿宋" w:hAnsi="仿宋" w:cs="仿宋_GB2312"/>
          <w:szCs w:val="21"/>
        </w:rPr>
        <w:t>．“偏离程度”一栏根据“投标文件响应内容”与招标文件逐项对照的结果填写。偏离必须用“正偏离、负偏离或无偏离”三个名称中的一种进行标注。</w:t>
      </w:r>
    </w:p>
    <w:p w14:paraId="31572E93">
      <w:pPr>
        <w:adjustRightInd w:val="0"/>
        <w:spacing w:line="360" w:lineRule="auto"/>
        <w:contextualSpacing/>
        <w:rPr>
          <w:rFonts w:ascii="仿宋" w:eastAsia="仿宋" w:cs="仿宋_GB2312"/>
          <w:szCs w:val="21"/>
        </w:rPr>
      </w:pPr>
      <w:r>
        <w:rPr>
          <w:rFonts w:ascii="仿宋" w:hAnsi="仿宋" w:cs="仿宋_GB2312"/>
          <w:szCs w:val="21"/>
        </w:rPr>
        <w:t>3</w:t>
      </w:r>
      <w:r>
        <w:rPr>
          <w:rFonts w:hint="eastAsia" w:ascii="仿宋" w:hAnsi="仿宋" w:cs="仿宋_GB2312"/>
          <w:szCs w:val="21"/>
        </w:rPr>
        <w:t>．“偏离说明”一栏由投标人对偏离的情况做详细说明。</w:t>
      </w:r>
    </w:p>
    <w:p w14:paraId="1CE17180">
      <w:pPr>
        <w:spacing w:line="360" w:lineRule="auto"/>
        <w:contextualSpacing/>
        <w:rPr>
          <w:rFonts w:ascii="仿宋" w:eastAsia="仿宋" w:cs="仿宋_GB2312"/>
        </w:rPr>
      </w:pPr>
    </w:p>
    <w:p w14:paraId="39A46011">
      <w:pPr>
        <w:spacing w:line="360" w:lineRule="auto"/>
        <w:contextualSpacing/>
        <w:rPr>
          <w:rFonts w:ascii="仿宋" w:eastAsia="仿宋" w:cs="仿宋_GB2312"/>
        </w:rPr>
      </w:pPr>
    </w:p>
    <w:p w14:paraId="0204689F">
      <w:pPr>
        <w:spacing w:line="360" w:lineRule="auto"/>
        <w:contextualSpacing/>
        <w:rPr>
          <w:rFonts w:ascii="仿宋" w:eastAsia="仿宋" w:cs="仿宋_GB2312"/>
        </w:rPr>
      </w:pPr>
    </w:p>
    <w:p w14:paraId="7D26A4B5">
      <w:pPr>
        <w:spacing w:line="360" w:lineRule="auto"/>
        <w:contextualSpacing/>
        <w:rPr>
          <w:rFonts w:ascii="仿宋" w:eastAsia="仿宋" w:cs="仿宋_GB2312"/>
        </w:rPr>
      </w:pPr>
    </w:p>
    <w:p w14:paraId="70418056">
      <w:pPr>
        <w:spacing w:line="360" w:lineRule="auto"/>
        <w:contextualSpacing/>
        <w:rPr>
          <w:rFonts w:ascii="仿宋" w:eastAsia="仿宋" w:cs="仿宋_GB2312"/>
        </w:rPr>
      </w:pPr>
    </w:p>
    <w:p w14:paraId="6C4F199F">
      <w:pPr>
        <w:spacing w:line="360" w:lineRule="auto"/>
        <w:contextualSpacing/>
        <w:rPr>
          <w:rFonts w:ascii="仿宋" w:eastAsia="仿宋" w:cs="仿宋_GB2312"/>
        </w:rPr>
      </w:pPr>
      <w:r>
        <w:rPr>
          <w:rFonts w:hint="eastAsia" w:ascii="仿宋" w:hAnsi="仿宋" w:cs="仿宋_GB2312"/>
        </w:rPr>
        <w:t>投标人名称（加盖单位公章）：</w:t>
      </w:r>
      <w:r>
        <w:rPr>
          <w:rFonts w:ascii="仿宋" w:hAnsi="仿宋" w:cs="仿宋_GB2312"/>
          <w:u w:val="single"/>
        </w:rPr>
        <w:t xml:space="preserve"> </w:t>
      </w:r>
      <w:r>
        <w:rPr>
          <w:rFonts w:hint="eastAsia" w:ascii="仿宋" w:hAnsi="仿宋" w:cs="仿宋_GB2312"/>
          <w:u w:val="single"/>
        </w:rPr>
        <w:t>辽宁立德树人实业集团有限公司</w:t>
      </w:r>
      <w:r>
        <w:rPr>
          <w:rFonts w:ascii="仿宋" w:hAnsi="仿宋" w:cs="仿宋_GB2312"/>
          <w:u w:val="single"/>
        </w:rPr>
        <w:t xml:space="preserve"> </w:t>
      </w:r>
    </w:p>
    <w:p w14:paraId="5AE4AE11">
      <w:pPr>
        <w:spacing w:line="360" w:lineRule="auto"/>
        <w:contextualSpacing/>
        <w:rPr>
          <w:rFonts w:ascii="仿宋" w:eastAsia="仿宋" w:cs="仿宋_GB2312"/>
        </w:rPr>
      </w:pPr>
      <w:r>
        <w:rPr>
          <w:rFonts w:hint="eastAsia" w:ascii="仿宋" w:hAnsi="仿宋" w:cs="仿宋_GB2312"/>
        </w:rPr>
        <w:t>法定代表人</w:t>
      </w:r>
      <w:r>
        <w:rPr>
          <w:rFonts w:hint="eastAsia" w:ascii="仿宋" w:hAnsi="仿宋" w:cs="仿宋_GB2312"/>
          <w:szCs w:val="21"/>
        </w:rPr>
        <w:t>或</w:t>
      </w:r>
      <w:r>
        <w:rPr>
          <w:rFonts w:hint="eastAsia" w:ascii="仿宋" w:hAnsi="仿宋" w:cs="仿宋_GB2312"/>
        </w:rPr>
        <w:t>其授权代表人</w:t>
      </w:r>
      <w:r>
        <w:rPr>
          <w:rFonts w:ascii="仿宋" w:hAnsi="仿宋" w:cs="仿宋_GB2312"/>
        </w:rPr>
        <w:t>(</w:t>
      </w:r>
      <w:r>
        <w:rPr>
          <w:rFonts w:hint="eastAsia" w:ascii="仿宋" w:hAnsi="仿宋" w:cs="仿宋_GB2312"/>
        </w:rPr>
        <w:t>签字或盖章</w:t>
      </w:r>
      <w:r>
        <w:rPr>
          <w:rFonts w:ascii="仿宋" w:hAnsi="仿宋" w:cs="仿宋_GB2312"/>
        </w:rPr>
        <w:t>)</w:t>
      </w:r>
      <w:r>
        <w:rPr>
          <w:rFonts w:hint="eastAsia" w:ascii="仿宋" w:hAnsi="仿宋" w:cs="仿宋_GB2312"/>
        </w:rPr>
        <w:t>：</w:t>
      </w:r>
      <w:r>
        <w:rPr>
          <w:rFonts w:ascii="仿宋" w:hAnsi="仿宋" w:cs="仿宋_GB2312"/>
          <w:u w:val="single"/>
        </w:rPr>
        <w:t xml:space="preserve">                   </w:t>
      </w:r>
    </w:p>
    <w:p w14:paraId="5D19E796">
      <w:pPr>
        <w:adjustRightInd w:val="0"/>
        <w:spacing w:line="360" w:lineRule="auto"/>
        <w:ind w:right="105" w:rightChars="50"/>
        <w:contextualSpacing/>
        <w:jc w:val="left"/>
        <w:rPr>
          <w:rFonts w:ascii="仿宋" w:eastAsia="仿宋" w:cs="仿宋_GB2312"/>
          <w:szCs w:val="21"/>
          <w:u w:val="single"/>
        </w:rPr>
      </w:pPr>
      <w:r>
        <w:rPr>
          <w:rFonts w:hint="eastAsia" w:ascii="仿宋" w:hAnsi="仿宋" w:cs="仿宋_GB2312"/>
        </w:rPr>
        <w:t>日期：</w:t>
      </w:r>
      <w:r>
        <w:rPr>
          <w:rFonts w:ascii="仿宋" w:hAnsi="仿宋" w:cs="仿宋_GB2312"/>
          <w:u w:val="single"/>
        </w:rPr>
        <w:t xml:space="preserve"> 2020</w:t>
      </w:r>
      <w:r>
        <w:rPr>
          <w:rFonts w:hint="eastAsia" w:ascii="仿宋" w:hAnsi="仿宋" w:cs="仿宋_GB2312"/>
          <w:u w:val="single"/>
        </w:rPr>
        <w:t>年</w:t>
      </w:r>
      <w:r>
        <w:rPr>
          <w:rFonts w:ascii="仿宋" w:hAnsi="仿宋" w:cs="仿宋_GB2312"/>
          <w:u w:val="single"/>
        </w:rPr>
        <w:t>6</w:t>
      </w:r>
      <w:r>
        <w:rPr>
          <w:rFonts w:hint="eastAsia" w:ascii="仿宋" w:hAnsi="仿宋" w:cs="仿宋_GB2312"/>
          <w:u w:val="single"/>
        </w:rPr>
        <w:t>月</w:t>
      </w:r>
      <w:r>
        <w:rPr>
          <w:rFonts w:ascii="仿宋" w:hAnsi="仿宋" w:cs="仿宋_GB2312"/>
          <w:u w:val="single"/>
        </w:rPr>
        <w:t>23</w:t>
      </w:r>
      <w:r>
        <w:rPr>
          <w:rFonts w:hint="eastAsia" w:ascii="仿宋" w:hAnsi="仿宋" w:cs="仿宋_GB2312"/>
          <w:u w:val="single"/>
        </w:rPr>
        <w:t>日</w:t>
      </w:r>
      <w:r>
        <w:rPr>
          <w:rFonts w:ascii="仿宋" w:hAnsi="仿宋" w:cs="仿宋_GB2312"/>
          <w:szCs w:val="21"/>
          <w:u w:val="single"/>
        </w:rPr>
        <w:t xml:space="preserve"> </w:t>
      </w:r>
    </w:p>
    <w:p w14:paraId="4FF752AE">
      <w:pPr>
        <w:adjustRightInd w:val="0"/>
        <w:snapToGrid w:val="0"/>
        <w:spacing w:line="360" w:lineRule="auto"/>
        <w:ind w:right="105" w:rightChars="50"/>
        <w:jc w:val="left"/>
        <w:rPr>
          <w:rFonts w:ascii="仿宋" w:eastAsia="仿宋" w:cs="仿宋_GB2312"/>
          <w:szCs w:val="21"/>
          <w:u w:val="single"/>
        </w:rPr>
      </w:pPr>
    </w:p>
    <w:p w14:paraId="2A50A685">
      <w:pPr>
        <w:adjustRightInd w:val="0"/>
        <w:snapToGrid w:val="0"/>
        <w:spacing w:line="360" w:lineRule="auto"/>
        <w:ind w:right="105" w:rightChars="50"/>
        <w:jc w:val="left"/>
        <w:rPr>
          <w:rFonts w:ascii="仿宋" w:eastAsia="仿宋" w:cs="仿宋_GB2312"/>
          <w:szCs w:val="21"/>
          <w:u w:val="single"/>
        </w:rPr>
      </w:pPr>
    </w:p>
    <w:p w14:paraId="4709A156">
      <w:pPr>
        <w:adjustRightInd w:val="0"/>
        <w:snapToGrid w:val="0"/>
        <w:spacing w:line="360" w:lineRule="auto"/>
        <w:ind w:right="105" w:rightChars="50"/>
        <w:jc w:val="left"/>
        <w:rPr>
          <w:rFonts w:ascii="仿宋" w:eastAsia="仿宋" w:cs="仿宋_GB2312"/>
          <w:szCs w:val="21"/>
          <w:u w:val="single"/>
        </w:rPr>
      </w:pPr>
    </w:p>
    <w:p w14:paraId="0922A4F8">
      <w:pPr>
        <w:adjustRightInd w:val="0"/>
        <w:snapToGrid w:val="0"/>
        <w:spacing w:line="360" w:lineRule="auto"/>
        <w:ind w:right="105" w:rightChars="50"/>
        <w:jc w:val="left"/>
        <w:rPr>
          <w:rFonts w:ascii="仿宋" w:eastAsia="仿宋" w:cs="仿宋_GB2312"/>
          <w:szCs w:val="21"/>
          <w:u w:val="single"/>
        </w:rPr>
      </w:pPr>
    </w:p>
    <w:p w14:paraId="24F156B6">
      <w:pPr>
        <w:adjustRightInd w:val="0"/>
        <w:snapToGrid w:val="0"/>
        <w:spacing w:line="360" w:lineRule="auto"/>
        <w:ind w:right="105" w:rightChars="50"/>
        <w:jc w:val="left"/>
        <w:rPr>
          <w:rFonts w:ascii="仿宋" w:eastAsia="仿宋" w:cs="仿宋_GB2312"/>
          <w:szCs w:val="21"/>
          <w:u w:val="single"/>
        </w:rPr>
      </w:pPr>
    </w:p>
    <w:p w14:paraId="187F9BF6">
      <w:pPr>
        <w:adjustRightInd w:val="0"/>
        <w:snapToGrid w:val="0"/>
        <w:spacing w:line="360" w:lineRule="auto"/>
        <w:ind w:right="105" w:rightChars="50"/>
        <w:jc w:val="left"/>
        <w:rPr>
          <w:rFonts w:ascii="仿宋" w:eastAsia="仿宋" w:cs="仿宋_GB2312"/>
          <w:szCs w:val="21"/>
          <w:u w:val="single"/>
        </w:rPr>
      </w:pPr>
    </w:p>
    <w:p w14:paraId="0AD8ABDF">
      <w:pPr>
        <w:adjustRightInd w:val="0"/>
        <w:snapToGrid w:val="0"/>
        <w:spacing w:line="360" w:lineRule="auto"/>
        <w:ind w:right="105" w:rightChars="50"/>
        <w:jc w:val="left"/>
        <w:rPr>
          <w:rFonts w:ascii="仿宋" w:eastAsia="仿宋" w:cs="仿宋_GB2312"/>
          <w:szCs w:val="21"/>
          <w:u w:val="single"/>
        </w:rPr>
      </w:pPr>
    </w:p>
    <w:p w14:paraId="2DB93109">
      <w:pPr>
        <w:adjustRightInd w:val="0"/>
        <w:snapToGrid w:val="0"/>
        <w:spacing w:line="360" w:lineRule="auto"/>
        <w:ind w:right="105" w:rightChars="50"/>
        <w:jc w:val="left"/>
        <w:rPr>
          <w:rFonts w:ascii="仿宋" w:eastAsia="仿宋" w:cs="仿宋_GB2312"/>
          <w:szCs w:val="21"/>
          <w:u w:val="single"/>
        </w:rPr>
      </w:pPr>
    </w:p>
    <w:p w14:paraId="3383979D">
      <w:pPr>
        <w:adjustRightInd w:val="0"/>
        <w:snapToGrid w:val="0"/>
        <w:spacing w:line="360" w:lineRule="auto"/>
        <w:ind w:right="105" w:rightChars="50"/>
        <w:jc w:val="left"/>
        <w:rPr>
          <w:rFonts w:ascii="仿宋" w:eastAsia="仿宋" w:cs="仿宋_GB2312"/>
          <w:szCs w:val="21"/>
          <w:u w:val="single"/>
        </w:rPr>
      </w:pPr>
    </w:p>
    <w:p w14:paraId="0E9BA49E">
      <w:pPr>
        <w:adjustRightInd w:val="0"/>
        <w:snapToGrid w:val="0"/>
        <w:spacing w:line="360" w:lineRule="auto"/>
        <w:ind w:right="105" w:rightChars="50"/>
        <w:jc w:val="left"/>
        <w:rPr>
          <w:rFonts w:ascii="仿宋" w:eastAsia="仿宋" w:cs="仿宋_GB2312"/>
          <w:szCs w:val="21"/>
          <w:u w:val="single"/>
        </w:rPr>
      </w:pPr>
    </w:p>
    <w:p w14:paraId="260CD35C"/>
    <w:sectPr>
      <w:pgSz w:w="11906" w:h="16838"/>
      <w:pgMar w:top="1440" w:right="1800" w:bottom="1440" w:left="1800" w:header="851" w:footer="992" w:gutter="0"/>
      <w:pgNumType w:start="5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8620A0"/>
    <w:multiLevelType w:val="singleLevel"/>
    <w:tmpl w:val="4B8620A0"/>
    <w:lvl w:ilvl="0" w:tentative="0">
      <w:start w:val="1"/>
      <w:numFmt w:val="upperLetter"/>
      <w:lvlText w:val="%1."/>
      <w:lvlJc w:val="left"/>
      <w:pPr>
        <w:tabs>
          <w:tab w:val="left" w:pos="312"/>
        </w:tabs>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2B13"/>
    <w:rsid w:val="000F568B"/>
    <w:rsid w:val="001F1F27"/>
    <w:rsid w:val="007A6464"/>
    <w:rsid w:val="00A23748"/>
    <w:rsid w:val="00D8170C"/>
    <w:rsid w:val="00D82B13"/>
    <w:rsid w:val="00EC153E"/>
    <w:rsid w:val="00EF5181"/>
    <w:rsid w:val="00FE7049"/>
    <w:rsid w:val="4EED1A2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8"/>
    <w:qFormat/>
    <w:uiPriority w:val="99"/>
    <w:pPr>
      <w:keepNext/>
      <w:keepLines/>
      <w:spacing w:before="260" w:after="260" w:line="416" w:lineRule="auto"/>
      <w:outlineLvl w:val="1"/>
    </w:pPr>
    <w:rPr>
      <w:rFonts w:ascii="Cambria" w:hAnsi="Cambria"/>
      <w:b/>
      <w:bCs/>
      <w:sz w:val="32"/>
      <w:szCs w:val="32"/>
    </w:rPr>
  </w:style>
  <w:style w:type="character" w:default="1" w:styleId="7">
    <w:name w:val="Default Paragraph Font"/>
    <w:semiHidden/>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qFormat/>
    <w:uiPriority w:val="99"/>
    <w:pPr>
      <w:tabs>
        <w:tab w:val="center" w:pos="4153"/>
        <w:tab w:val="right" w:pos="8306"/>
      </w:tabs>
      <w:snapToGrid w:val="0"/>
      <w:jc w:val="left"/>
    </w:pPr>
    <w:rPr>
      <w:sz w:val="18"/>
      <w:szCs w:val="18"/>
    </w:rPr>
  </w:style>
  <w:style w:type="paragraph" w:styleId="4">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link w:val="13"/>
    <w:qFormat/>
    <w:uiPriority w:val="99"/>
    <w:pPr>
      <w:spacing w:before="240" w:after="60" w:line="312" w:lineRule="auto"/>
      <w:jc w:val="center"/>
      <w:outlineLvl w:val="1"/>
    </w:pPr>
    <w:rPr>
      <w:rFonts w:ascii="Cambria" w:hAnsi="Cambria"/>
      <w:b/>
      <w:bCs/>
      <w:kern w:val="28"/>
      <w:sz w:val="32"/>
      <w:szCs w:val="32"/>
    </w:rPr>
  </w:style>
  <w:style w:type="character" w:customStyle="1" w:styleId="8">
    <w:name w:val="Heading 2 Char"/>
    <w:basedOn w:val="7"/>
    <w:link w:val="2"/>
    <w:qFormat/>
    <w:locked/>
    <w:uiPriority w:val="99"/>
    <w:rPr>
      <w:rFonts w:ascii="Cambria" w:hAnsi="Cambria" w:eastAsia="宋体" w:cs="Times New Roman"/>
      <w:b/>
      <w:bCs/>
      <w:sz w:val="32"/>
      <w:szCs w:val="32"/>
    </w:rPr>
  </w:style>
  <w:style w:type="character" w:customStyle="1" w:styleId="9">
    <w:name w:val="Header Char"/>
    <w:basedOn w:val="7"/>
    <w:link w:val="4"/>
    <w:semiHidden/>
    <w:qFormat/>
    <w:locked/>
    <w:uiPriority w:val="99"/>
    <w:rPr>
      <w:rFonts w:cs="Times New Roman"/>
      <w:sz w:val="18"/>
      <w:szCs w:val="18"/>
    </w:rPr>
  </w:style>
  <w:style w:type="character" w:customStyle="1" w:styleId="10">
    <w:name w:val="Footer Char"/>
    <w:basedOn w:val="7"/>
    <w:link w:val="3"/>
    <w:semiHidden/>
    <w:qFormat/>
    <w:locked/>
    <w:uiPriority w:val="99"/>
    <w:rPr>
      <w:rFonts w:cs="Times New Roman"/>
      <w:sz w:val="18"/>
      <w:szCs w:val="18"/>
    </w:rPr>
  </w:style>
  <w:style w:type="character" w:customStyle="1" w:styleId="11">
    <w:name w:val="Subtitle Char"/>
    <w:locked/>
    <w:uiPriority w:val="99"/>
    <w:rPr>
      <w:rFonts w:ascii="Cambria" w:hAnsi="Cambria"/>
      <w:b/>
      <w:kern w:val="28"/>
      <w:sz w:val="32"/>
    </w:rPr>
  </w:style>
  <w:style w:type="character" w:customStyle="1" w:styleId="12">
    <w:name w:val="Subtitle Char1"/>
    <w:basedOn w:val="7"/>
    <w:link w:val="5"/>
    <w:qFormat/>
    <w:uiPriority w:val="11"/>
    <w:rPr>
      <w:rFonts w:asciiTheme="majorHAnsi" w:hAnsiTheme="majorHAnsi" w:cstheme="majorBidi"/>
      <w:b/>
      <w:bCs/>
      <w:kern w:val="28"/>
      <w:sz w:val="32"/>
      <w:szCs w:val="32"/>
    </w:rPr>
  </w:style>
  <w:style w:type="character" w:customStyle="1" w:styleId="13">
    <w:name w:val="Subtitle Char2"/>
    <w:basedOn w:val="7"/>
    <w:link w:val="5"/>
    <w:locked/>
    <w:uiPriority w:val="99"/>
    <w:rPr>
      <w:rFonts w:ascii="Cambria" w:hAnsi="Cambria" w:eastAsia="宋体" w:cs="Times New Roman"/>
      <w:b/>
      <w:bCs/>
      <w:kern w:val="28"/>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11</Pages>
  <Words>9473</Words>
  <Characters>9813</Characters>
  <Lines>0</Lines>
  <Paragraphs>0</Paragraphs>
  <TotalTime>2</TotalTime>
  <ScaleCrop>false</ScaleCrop>
  <LinksUpToDate>false</LinksUpToDate>
  <CharactersWithSpaces>9935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2020-06-24T02:49:00Z</dcterms:created>
  <dc:creator>Administrator</dc:creator>
  <cp:lastModifiedBy>张欢</cp:lastModifiedBy>
  <dcterms:modified xsi:type="dcterms:W3CDTF">2026-07-22T01:05:23Z</dcterms:modified>
  <dc:title>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eyJoZGlkIjoiNTdjZGUxMmFlNGVhNDIyNWFmMjRhNTdkYzM3NGMwZGUiLCJ1c2VySWQiOiIxNjUwNzQ4NzUzIn0=</vt:lpwstr>
  </property>
  <property fmtid="{D5CDD505-2E9C-101B-9397-08002B2CF9AE}" pid="3" name="KSOProductBuildVer">
    <vt:lpwstr>2052-12.1.0.26895</vt:lpwstr>
  </property>
  <property fmtid="{D5CDD505-2E9C-101B-9397-08002B2CF9AE}" pid="4" name="ICV">
    <vt:lpwstr>D8FC5EB94DA0442AB6DC3EADAF7044C3_12</vt:lpwstr>
  </property>
</Properties>
</file>