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4A8299">
      <w:pPr>
        <w:wordWrap w:val="0"/>
        <w:adjustRightInd w:val="0"/>
        <w:snapToGrid w:val="0"/>
        <w:spacing w:line="360" w:lineRule="auto"/>
        <w:jc w:val="left"/>
        <w:rPr>
          <w:rFonts w:ascii="仿宋_GB2312" w:hAnsi="仿宋_GB2312" w:eastAsia="仿宋_GB2312" w:cs="仿宋_GB2312"/>
          <w:szCs w:val="21"/>
        </w:rPr>
      </w:pPr>
    </w:p>
    <w:p w14:paraId="24C4EDF4">
      <w:pPr>
        <w:pStyle w:val="2"/>
        <w:ind w:firstLine="2168" w:firstLineChars="450"/>
        <w:rPr>
          <w:rFonts w:asciiTheme="minorEastAsia" w:hAnsiTheme="minorEastAsia" w:eastAsiaTheme="minorEastAsia"/>
          <w:sz w:val="48"/>
          <w:szCs w:val="48"/>
        </w:rPr>
      </w:pPr>
      <w:bookmarkStart w:id="0" w:name="_Toc11644_WPSOffice_Level1"/>
      <w:bookmarkStart w:id="1" w:name="_Toc7832_WPSOffice_Level1"/>
      <w:bookmarkStart w:id="2" w:name="_Toc30224_WPSOffice_Level1"/>
      <w:r>
        <w:rPr>
          <w:rFonts w:hint="eastAsia" w:asciiTheme="minorEastAsia" w:hAnsiTheme="minorEastAsia" w:eastAsiaTheme="minorEastAsia"/>
          <w:sz w:val="48"/>
          <w:szCs w:val="48"/>
        </w:rPr>
        <w:t>鞍山市政府采购项目</w:t>
      </w:r>
    </w:p>
    <w:p w14:paraId="60E1E69A"/>
    <w:p w14:paraId="6F8F5584">
      <w:pPr>
        <w:rPr>
          <w:rFonts w:asciiTheme="minorEastAsia" w:hAnsiTheme="minorEastAsia" w:eastAsiaTheme="minorEastAsia"/>
        </w:rPr>
      </w:pPr>
    </w:p>
    <w:p w14:paraId="23C6BBF7">
      <w:pPr>
        <w:adjustRightInd w:val="0"/>
        <w:snapToGrid w:val="0"/>
        <w:spacing w:line="360" w:lineRule="auto"/>
        <w:rPr>
          <w:rFonts w:cs="仿宋_GB2312" w:asciiTheme="minorEastAsia" w:hAnsiTheme="minorEastAsia" w:eastAsiaTheme="minorEastAsia"/>
          <w:b/>
          <w:sz w:val="36"/>
          <w:szCs w:val="36"/>
        </w:rPr>
      </w:pPr>
      <w:r>
        <w:rPr>
          <w:rFonts w:hint="eastAsia" w:asciiTheme="minorEastAsia" w:hAnsiTheme="minorEastAsia" w:eastAsiaTheme="minorEastAsia"/>
          <w:b/>
          <w:sz w:val="48"/>
          <w:szCs w:val="48"/>
        </w:rPr>
        <w:t xml:space="preserve">        </w:t>
      </w:r>
      <w:r>
        <w:rPr>
          <w:rFonts w:hint="eastAsia" w:cs="仿宋_GB2312" w:asciiTheme="minorEastAsia" w:hAnsiTheme="minorEastAsia" w:eastAsiaTheme="minorEastAsia"/>
          <w:b/>
          <w:sz w:val="36"/>
          <w:szCs w:val="36"/>
        </w:rPr>
        <w:t>2023年绩效评价中介机构服务</w:t>
      </w:r>
    </w:p>
    <w:p w14:paraId="082B3B3C">
      <w:pPr>
        <w:spacing w:line="440" w:lineRule="exact"/>
        <w:ind w:left="1050" w:hanging="1050" w:hangingChars="500"/>
        <w:jc w:val="left"/>
        <w:rPr>
          <w:rFonts w:asciiTheme="minorEastAsia" w:hAnsiTheme="minorEastAsia" w:eastAsiaTheme="minorEastAsia"/>
        </w:rPr>
      </w:pPr>
    </w:p>
    <w:p w14:paraId="61D98AAB">
      <w:pPr>
        <w:spacing w:line="360" w:lineRule="auto"/>
        <w:ind w:left="3208" w:leftChars="385" w:hanging="2400" w:hangingChars="500"/>
        <w:rPr>
          <w:rFonts w:asciiTheme="minorEastAsia" w:hAnsiTheme="minorEastAsia" w:eastAsiaTheme="minorEastAsia"/>
          <w:color w:val="000000"/>
          <w:sz w:val="48"/>
          <w:szCs w:val="48"/>
        </w:rPr>
      </w:pPr>
    </w:p>
    <w:p w14:paraId="35157AC4">
      <w:pPr>
        <w:spacing w:line="360" w:lineRule="auto"/>
        <w:ind w:left="1858" w:leftChars="885" w:firstLine="361" w:firstLineChars="100"/>
        <w:rPr>
          <w:rFonts w:cs="仿宋_GB2312" w:asciiTheme="minorEastAsia" w:hAnsiTheme="minorEastAsia" w:eastAsiaTheme="minorEastAsia"/>
          <w:b/>
          <w:sz w:val="36"/>
          <w:szCs w:val="36"/>
        </w:rPr>
      </w:pPr>
      <w:r>
        <w:rPr>
          <w:rFonts w:hint="eastAsia" w:cs="仿宋_GB2312" w:asciiTheme="minorEastAsia" w:hAnsiTheme="minorEastAsia" w:eastAsiaTheme="minorEastAsia"/>
          <w:b/>
          <w:sz w:val="36"/>
          <w:szCs w:val="36"/>
        </w:rPr>
        <w:t>计划编号：JH23-210300-03503</w:t>
      </w:r>
    </w:p>
    <w:p w14:paraId="3CE101BC">
      <w:pPr>
        <w:spacing w:line="360" w:lineRule="auto"/>
        <w:ind w:firstLine="2168" w:firstLineChars="600"/>
        <w:rPr>
          <w:rFonts w:cs="仿宋_GB2312" w:asciiTheme="minorEastAsia" w:hAnsiTheme="minorEastAsia" w:eastAsiaTheme="minorEastAsia"/>
          <w:b/>
          <w:sz w:val="36"/>
          <w:szCs w:val="36"/>
        </w:rPr>
      </w:pPr>
      <w:r>
        <w:rPr>
          <w:rFonts w:hint="eastAsia" w:asciiTheme="minorEastAsia" w:hAnsiTheme="minorEastAsia" w:eastAsiaTheme="minorEastAsia"/>
          <w:b/>
          <w:sz w:val="36"/>
          <w:szCs w:val="36"/>
        </w:rPr>
        <w:t>合同</w:t>
      </w:r>
      <w:r>
        <w:rPr>
          <w:rFonts w:hint="eastAsia" w:cs="仿宋_GB2312" w:asciiTheme="minorEastAsia" w:hAnsiTheme="minorEastAsia" w:eastAsiaTheme="minorEastAsia"/>
          <w:b/>
          <w:sz w:val="36"/>
          <w:szCs w:val="36"/>
        </w:rPr>
        <w:t>编号：</w:t>
      </w:r>
      <w:r>
        <w:rPr>
          <w:rFonts w:cs="仿宋_GB2312" w:asciiTheme="minorEastAsia" w:hAnsiTheme="minorEastAsia" w:eastAsiaTheme="minorEastAsia"/>
          <w:b/>
          <w:sz w:val="36"/>
          <w:szCs w:val="36"/>
        </w:rPr>
        <w:t>AGJGC</w:t>
      </w:r>
      <w:r>
        <w:rPr>
          <w:rFonts w:hint="eastAsia" w:cs="仿宋_GB2312" w:asciiTheme="minorEastAsia" w:hAnsiTheme="minorEastAsia" w:eastAsiaTheme="minorEastAsia"/>
          <w:b/>
          <w:sz w:val="36"/>
          <w:szCs w:val="36"/>
        </w:rPr>
        <w:t>2023GF17</w:t>
      </w:r>
    </w:p>
    <w:p w14:paraId="5F11C7DC">
      <w:pPr>
        <w:spacing w:line="360" w:lineRule="auto"/>
        <w:ind w:left="1858" w:leftChars="885" w:firstLine="361" w:firstLineChars="100"/>
        <w:rPr>
          <w:rFonts w:cs="仿宋_GB2312" w:asciiTheme="minorEastAsia" w:hAnsiTheme="minorEastAsia" w:eastAsiaTheme="minorEastAsia"/>
          <w:b/>
          <w:sz w:val="36"/>
          <w:szCs w:val="36"/>
        </w:rPr>
      </w:pPr>
    </w:p>
    <w:p w14:paraId="23066760">
      <w:pPr>
        <w:spacing w:line="360" w:lineRule="auto"/>
        <w:ind w:left="1858" w:leftChars="885" w:firstLine="1446" w:firstLineChars="400"/>
        <w:rPr>
          <w:rFonts w:asciiTheme="minorEastAsia" w:hAnsiTheme="minorEastAsia" w:eastAsiaTheme="minorEastAsia"/>
          <w:b/>
          <w:color w:val="000000"/>
          <w:sz w:val="36"/>
          <w:szCs w:val="36"/>
        </w:rPr>
      </w:pPr>
      <w:r>
        <w:rPr>
          <w:rFonts w:hint="eastAsia" w:asciiTheme="minorEastAsia" w:hAnsiTheme="minorEastAsia" w:eastAsiaTheme="minorEastAsia"/>
          <w:b/>
          <w:color w:val="000000"/>
          <w:sz w:val="36"/>
          <w:szCs w:val="36"/>
        </w:rPr>
        <w:t>第五包</w:t>
      </w:r>
    </w:p>
    <w:p w14:paraId="1A82B43B">
      <w:pPr>
        <w:ind w:firstLine="1038"/>
        <w:rPr>
          <w:rFonts w:asciiTheme="minorEastAsia" w:hAnsiTheme="minorEastAsia" w:eastAsiaTheme="minorEastAsia"/>
          <w:b/>
          <w:color w:val="000000"/>
          <w:sz w:val="48"/>
          <w:szCs w:val="48"/>
        </w:rPr>
      </w:pPr>
    </w:p>
    <w:p w14:paraId="33237D5C">
      <w:pPr>
        <w:spacing w:line="360" w:lineRule="auto"/>
        <w:ind w:firstLine="3373" w:firstLineChars="700"/>
        <w:jc w:val="left"/>
        <w:rPr>
          <w:rFonts w:asciiTheme="minorEastAsia" w:hAnsiTheme="minorEastAsia" w:eastAsiaTheme="minorEastAsia"/>
          <w:b/>
          <w:sz w:val="48"/>
          <w:szCs w:val="48"/>
        </w:rPr>
      </w:pPr>
    </w:p>
    <w:p w14:paraId="4EA61F07">
      <w:pPr>
        <w:spacing w:line="360" w:lineRule="auto"/>
        <w:ind w:firstLine="2891" w:firstLineChars="600"/>
        <w:jc w:val="left"/>
        <w:rPr>
          <w:rFonts w:asciiTheme="minorEastAsia" w:hAnsiTheme="minorEastAsia" w:eastAsiaTheme="minorEastAsia"/>
          <w:b/>
          <w:sz w:val="48"/>
          <w:szCs w:val="48"/>
        </w:rPr>
      </w:pPr>
      <w:r>
        <w:rPr>
          <w:rFonts w:hint="eastAsia" w:asciiTheme="minorEastAsia" w:hAnsiTheme="minorEastAsia" w:eastAsiaTheme="minorEastAsia"/>
          <w:b/>
          <w:sz w:val="48"/>
          <w:szCs w:val="48"/>
        </w:rPr>
        <w:t>合　  同</w:t>
      </w:r>
    </w:p>
    <w:p w14:paraId="7E2165AB">
      <w:pPr>
        <w:spacing w:line="360" w:lineRule="auto"/>
        <w:ind w:firstLine="1687" w:firstLineChars="350"/>
        <w:jc w:val="left"/>
        <w:rPr>
          <w:rFonts w:asciiTheme="minorEastAsia" w:hAnsiTheme="minorEastAsia" w:eastAsiaTheme="minorEastAsia"/>
          <w:b/>
          <w:sz w:val="48"/>
          <w:szCs w:val="48"/>
        </w:rPr>
      </w:pPr>
    </w:p>
    <w:p w14:paraId="081EDC76">
      <w:pPr>
        <w:spacing w:line="440" w:lineRule="exact"/>
        <w:ind w:left="1966" w:leftChars="936" w:firstLine="241" w:firstLineChars="50"/>
        <w:rPr>
          <w:rFonts w:asciiTheme="minorEastAsia" w:hAnsiTheme="minorEastAsia" w:eastAsiaTheme="minorEastAsia"/>
          <w:b/>
          <w:sz w:val="48"/>
          <w:szCs w:val="48"/>
        </w:rPr>
      </w:pPr>
    </w:p>
    <w:p w14:paraId="28C8BC25">
      <w:pPr>
        <w:spacing w:line="440" w:lineRule="exact"/>
        <w:ind w:left="1966" w:leftChars="936" w:firstLine="241" w:firstLineChars="50"/>
        <w:rPr>
          <w:rFonts w:asciiTheme="minorEastAsia" w:hAnsiTheme="minorEastAsia" w:eastAsiaTheme="minorEastAsia"/>
          <w:b/>
          <w:sz w:val="48"/>
          <w:szCs w:val="48"/>
        </w:rPr>
      </w:pPr>
    </w:p>
    <w:p w14:paraId="56D02214">
      <w:pPr>
        <w:spacing w:line="520" w:lineRule="exact"/>
        <w:jc w:val="left"/>
        <w:rPr>
          <w:rFonts w:cs="仿宋_GB2312" w:asciiTheme="minorEastAsia" w:hAnsiTheme="minorEastAsia" w:eastAsiaTheme="minorEastAsia"/>
          <w:b/>
          <w:sz w:val="36"/>
          <w:szCs w:val="36"/>
        </w:rPr>
      </w:pPr>
      <w:r>
        <w:rPr>
          <w:rFonts w:hint="eastAsia" w:asciiTheme="minorEastAsia" w:hAnsiTheme="minorEastAsia" w:eastAsiaTheme="minorEastAsia"/>
          <w:b/>
          <w:sz w:val="36"/>
          <w:szCs w:val="36"/>
        </w:rPr>
        <w:t>合同需方：</w:t>
      </w:r>
      <w:r>
        <w:rPr>
          <w:rFonts w:hint="eastAsia" w:cs="仿宋_GB2312" w:asciiTheme="minorEastAsia" w:hAnsiTheme="minorEastAsia" w:eastAsiaTheme="minorEastAsia"/>
          <w:b/>
          <w:sz w:val="36"/>
          <w:szCs w:val="36"/>
        </w:rPr>
        <w:t>鞍山市财政局</w:t>
      </w:r>
    </w:p>
    <w:p w14:paraId="44FBC7B1">
      <w:pPr>
        <w:spacing w:line="520" w:lineRule="exact"/>
        <w:jc w:val="left"/>
        <w:rPr>
          <w:rFonts w:asciiTheme="minorEastAsia" w:hAnsiTheme="minorEastAsia" w:eastAsiaTheme="minorEastAsia"/>
          <w:b/>
          <w:sz w:val="36"/>
          <w:szCs w:val="36"/>
        </w:rPr>
      </w:pPr>
      <w:r>
        <w:rPr>
          <w:rFonts w:hint="eastAsia" w:asciiTheme="minorEastAsia" w:hAnsiTheme="minorEastAsia" w:eastAsiaTheme="minorEastAsia"/>
          <w:b/>
          <w:sz w:val="36"/>
          <w:szCs w:val="36"/>
        </w:rPr>
        <w:t>合同供方: 辽宁润致会计师事务所（普通合伙）</w:t>
      </w:r>
    </w:p>
    <w:p w14:paraId="1084C879">
      <w:pPr>
        <w:spacing w:line="520" w:lineRule="exact"/>
        <w:jc w:val="left"/>
        <w:rPr>
          <w:rFonts w:asciiTheme="minorEastAsia" w:hAnsiTheme="minorEastAsia" w:eastAsiaTheme="minorEastAsia"/>
          <w:b/>
          <w:sz w:val="36"/>
          <w:szCs w:val="36"/>
        </w:rPr>
      </w:pPr>
      <w:r>
        <w:rPr>
          <w:rFonts w:hint="eastAsia" w:asciiTheme="minorEastAsia" w:hAnsiTheme="minorEastAsia" w:eastAsiaTheme="minorEastAsia"/>
          <w:b/>
          <w:sz w:val="36"/>
          <w:szCs w:val="36"/>
        </w:rPr>
        <w:t>采购代理机构：鞍山市公共资源交易中心</w:t>
      </w:r>
    </w:p>
    <w:p w14:paraId="3670383D">
      <w:pPr>
        <w:spacing w:line="520" w:lineRule="exact"/>
        <w:ind w:firstLine="2168" w:firstLineChars="600"/>
        <w:jc w:val="left"/>
        <w:rPr>
          <w:rFonts w:ascii="宋体" w:hAnsi="宋体"/>
          <w:b/>
          <w:sz w:val="44"/>
          <w:szCs w:val="44"/>
        </w:rPr>
      </w:pPr>
      <w:r>
        <w:rPr>
          <w:rFonts w:hint="eastAsia" w:cs="仿宋_GB2312" w:asciiTheme="minorEastAsia" w:hAnsiTheme="minorEastAsia" w:eastAsiaTheme="minorEastAsia"/>
          <w:b/>
          <w:sz w:val="36"/>
          <w:szCs w:val="36"/>
        </w:rPr>
        <w:t>（鞍山市政府采购中心）</w:t>
      </w:r>
    </w:p>
    <w:p w14:paraId="413E33F0">
      <w:pPr>
        <w:adjustRightInd w:val="0"/>
        <w:snapToGrid w:val="0"/>
        <w:spacing w:line="360" w:lineRule="auto"/>
        <w:jc w:val="center"/>
        <w:rPr>
          <w:rFonts w:cs="仿宋_GB2312" w:asciiTheme="minorEastAsia" w:hAnsiTheme="minorEastAsia" w:eastAsiaTheme="minorEastAsia"/>
          <w:b/>
          <w:bCs/>
          <w:sz w:val="24"/>
        </w:rPr>
      </w:pPr>
    </w:p>
    <w:p w14:paraId="56667B3C">
      <w:pPr>
        <w:adjustRightInd w:val="0"/>
        <w:snapToGrid w:val="0"/>
        <w:spacing w:line="360" w:lineRule="auto"/>
        <w:jc w:val="center"/>
        <w:rPr>
          <w:rFonts w:cs="仿宋_GB2312" w:asciiTheme="minorEastAsia" w:hAnsiTheme="minorEastAsia" w:eastAsiaTheme="minorEastAsia"/>
          <w:b/>
          <w:bCs/>
          <w:sz w:val="24"/>
        </w:rPr>
      </w:pPr>
    </w:p>
    <w:p w14:paraId="0C8719D2">
      <w:pPr>
        <w:adjustRightInd w:val="0"/>
        <w:snapToGrid w:val="0"/>
        <w:spacing w:line="360" w:lineRule="auto"/>
        <w:jc w:val="center"/>
        <w:rPr>
          <w:rFonts w:cs="仿宋_GB2312" w:asciiTheme="minorEastAsia" w:hAnsiTheme="minorEastAsia" w:eastAsiaTheme="minorEastAsia"/>
          <w:b/>
          <w:bCs/>
          <w:sz w:val="24"/>
        </w:rPr>
      </w:pPr>
    </w:p>
    <w:p w14:paraId="27E95DA3">
      <w:pPr>
        <w:adjustRightInd w:val="0"/>
        <w:snapToGrid w:val="0"/>
        <w:spacing w:line="360" w:lineRule="auto"/>
        <w:jc w:val="center"/>
        <w:rPr>
          <w:rFonts w:cs="仿宋_GB2312" w:asciiTheme="minorEastAsia" w:hAnsiTheme="minorEastAsia" w:eastAsiaTheme="minorEastAsia"/>
          <w:b/>
          <w:bCs/>
          <w:sz w:val="24"/>
        </w:rPr>
      </w:pPr>
    </w:p>
    <w:p w14:paraId="2C46D183">
      <w:pPr>
        <w:adjustRightInd w:val="0"/>
        <w:snapToGrid w:val="0"/>
        <w:spacing w:line="360" w:lineRule="auto"/>
        <w:jc w:val="center"/>
        <w:rPr>
          <w:rFonts w:cs="仿宋_GB2312" w:asciiTheme="minorEastAsia" w:hAnsiTheme="minorEastAsia" w:eastAsiaTheme="minorEastAsia"/>
          <w:b/>
          <w:bCs/>
          <w:sz w:val="24"/>
        </w:rPr>
      </w:pPr>
      <w:r>
        <w:rPr>
          <w:rFonts w:hint="eastAsia" w:cs="仿宋_GB2312" w:asciiTheme="minorEastAsia" w:hAnsiTheme="minorEastAsia" w:eastAsiaTheme="minorEastAsia"/>
          <w:b/>
          <w:bCs/>
          <w:sz w:val="24"/>
        </w:rPr>
        <w:t>政府采购合同</w:t>
      </w:r>
      <w:bookmarkEnd w:id="0"/>
      <w:bookmarkEnd w:id="1"/>
    </w:p>
    <w:p w14:paraId="5041E670">
      <w:pPr>
        <w:spacing w:line="360" w:lineRule="auto"/>
        <w:rPr>
          <w:rFonts w:cs="仿宋_GB2312" w:asciiTheme="minorEastAsia" w:hAnsiTheme="minorEastAsia" w:eastAsiaTheme="minorEastAsia"/>
          <w:sz w:val="24"/>
        </w:rPr>
      </w:pPr>
      <w:r>
        <w:rPr>
          <w:rFonts w:hint="eastAsia" w:cs="仿宋_GB2312" w:asciiTheme="minorEastAsia" w:hAnsiTheme="minorEastAsia" w:eastAsiaTheme="minorEastAsia"/>
          <w:sz w:val="24"/>
        </w:rPr>
        <w:t>政府采购合同编号：JH23-210300-03503</w:t>
      </w:r>
    </w:p>
    <w:p w14:paraId="61069099">
      <w:pPr>
        <w:adjustRightInd w:val="0"/>
        <w:snapToGrid w:val="0"/>
        <w:spacing w:line="360" w:lineRule="auto"/>
        <w:jc w:val="left"/>
        <w:rPr>
          <w:rFonts w:asciiTheme="minorEastAsia" w:hAnsiTheme="minorEastAsia" w:eastAsiaTheme="minorEastAsia"/>
          <w:sz w:val="24"/>
        </w:rPr>
      </w:pPr>
      <w:r>
        <w:rPr>
          <w:rFonts w:hint="eastAsia" w:cs="仿宋_GB2312" w:asciiTheme="minorEastAsia" w:hAnsiTheme="minorEastAsia" w:eastAsiaTheme="minorEastAsia"/>
          <w:sz w:val="24"/>
        </w:rPr>
        <w:t>签订地点：</w:t>
      </w:r>
      <w:r>
        <w:rPr>
          <w:rFonts w:hint="eastAsia" w:asciiTheme="minorEastAsia" w:hAnsiTheme="minorEastAsia" w:eastAsiaTheme="minorEastAsia"/>
          <w:sz w:val="24"/>
        </w:rPr>
        <w:t>鞍山市公共资源交易中心</w:t>
      </w:r>
    </w:p>
    <w:p w14:paraId="6E68932A">
      <w:pPr>
        <w:spacing w:line="520" w:lineRule="exact"/>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鞍山市财政局</w:t>
      </w:r>
      <w:r>
        <w:rPr>
          <w:rFonts w:hint="eastAsia" w:asciiTheme="minorEastAsia" w:hAnsiTheme="minorEastAsia" w:eastAsiaTheme="minorEastAsia"/>
          <w:color w:val="000000"/>
          <w:sz w:val="24"/>
        </w:rPr>
        <w:t>（</w:t>
      </w:r>
      <w:r>
        <w:rPr>
          <w:rFonts w:hint="eastAsia" w:cs="仿宋_GB2312" w:asciiTheme="minorEastAsia" w:hAnsiTheme="minorEastAsia" w:eastAsiaTheme="minorEastAsia"/>
          <w:sz w:val="24"/>
        </w:rPr>
        <w:t>以下简称需方）和</w:t>
      </w:r>
      <w:r>
        <w:rPr>
          <w:rFonts w:hint="eastAsia" w:asciiTheme="minorEastAsia" w:hAnsiTheme="minorEastAsia" w:eastAsiaTheme="minorEastAsia"/>
          <w:sz w:val="24"/>
        </w:rPr>
        <w:t>辽宁润致会计师事务所（普通合伙）</w:t>
      </w:r>
      <w:r>
        <w:rPr>
          <w:rFonts w:hint="eastAsia" w:cs="仿宋_GB2312" w:asciiTheme="minorEastAsia" w:hAnsiTheme="minorEastAsia" w:eastAsiaTheme="minorEastAsia"/>
          <w:sz w:val="24"/>
        </w:rPr>
        <w:t>（以下简称供方）根据《中华人民共和国民法典》和有关法律法规，遵循平等、自愿、公平和诚实信用原则，同意按照下面的条款和条件订立本政府采购合同，共同信守。</w:t>
      </w:r>
    </w:p>
    <w:p w14:paraId="429B205C">
      <w:pPr>
        <w:adjustRightInd w:val="0"/>
        <w:snapToGrid w:val="0"/>
        <w:spacing w:line="360" w:lineRule="auto"/>
        <w:jc w:val="left"/>
        <w:rPr>
          <w:rFonts w:cs="仿宋_GB2312" w:asciiTheme="minorEastAsia" w:hAnsiTheme="minorEastAsia" w:eastAsiaTheme="minorEastAsia"/>
          <w:b/>
          <w:sz w:val="24"/>
        </w:rPr>
      </w:pPr>
      <w:r>
        <w:rPr>
          <w:rFonts w:hint="eastAsia" w:cs="仿宋_GB2312" w:asciiTheme="minorEastAsia" w:hAnsiTheme="minorEastAsia" w:eastAsiaTheme="minorEastAsia"/>
          <w:b/>
          <w:sz w:val="24"/>
        </w:rPr>
        <w:t>　　一、政府采购合同文件</w:t>
      </w:r>
    </w:p>
    <w:p w14:paraId="7E228734">
      <w:pPr>
        <w:adjustRightInd w:val="0"/>
        <w:snapToGrid w:val="0"/>
        <w:spacing w:line="360" w:lineRule="auto"/>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 xml:space="preserve">    本政府采购合同所附下列文件是构成本政府采购合同不可分割的部分：</w:t>
      </w:r>
    </w:p>
    <w:p w14:paraId="68B009AD">
      <w:pPr>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1.采购文件（采购文件编号JH23-210300-03503）；</w:t>
      </w:r>
    </w:p>
    <w:p w14:paraId="20D0C3B2">
      <w:pPr>
        <w:adjustRightInd w:val="0"/>
        <w:snapToGrid w:val="0"/>
        <w:spacing w:line="360" w:lineRule="auto"/>
        <w:ind w:firstLine="480" w:firstLineChars="200"/>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2.采购文件的更正公告、变更公告；</w:t>
      </w:r>
    </w:p>
    <w:p w14:paraId="33D7701D">
      <w:pPr>
        <w:adjustRightInd w:val="0"/>
        <w:snapToGrid w:val="0"/>
        <w:spacing w:line="360" w:lineRule="auto"/>
        <w:ind w:firstLine="480" w:firstLineChars="200"/>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3.中标供应商提交的投标文件；</w:t>
      </w:r>
    </w:p>
    <w:p w14:paraId="24639063">
      <w:pPr>
        <w:adjustRightInd w:val="0"/>
        <w:snapToGrid w:val="0"/>
        <w:spacing w:line="360" w:lineRule="auto"/>
        <w:ind w:firstLine="480" w:firstLineChars="200"/>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4.政府采购合同条款；</w:t>
      </w:r>
    </w:p>
    <w:p w14:paraId="5CB6BE42">
      <w:pPr>
        <w:adjustRightInd w:val="0"/>
        <w:snapToGrid w:val="0"/>
        <w:spacing w:line="360" w:lineRule="auto"/>
        <w:ind w:firstLine="480" w:firstLineChars="200"/>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5.中标通知书；</w:t>
      </w:r>
    </w:p>
    <w:p w14:paraId="1D47C9A4">
      <w:pPr>
        <w:adjustRightInd w:val="0"/>
        <w:snapToGrid w:val="0"/>
        <w:spacing w:line="360" w:lineRule="auto"/>
        <w:ind w:firstLine="480" w:firstLineChars="200"/>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6.政府采购合同的其它附件。</w:t>
      </w:r>
    </w:p>
    <w:p w14:paraId="106C267F">
      <w:pPr>
        <w:adjustRightInd w:val="0"/>
        <w:snapToGrid w:val="0"/>
        <w:spacing w:line="360" w:lineRule="auto"/>
        <w:jc w:val="left"/>
        <w:rPr>
          <w:rFonts w:cs="仿宋_GB2312" w:asciiTheme="minorEastAsia" w:hAnsiTheme="minorEastAsia" w:eastAsiaTheme="minorEastAsia"/>
          <w:b/>
          <w:sz w:val="24"/>
        </w:rPr>
      </w:pPr>
      <w:r>
        <w:rPr>
          <w:rFonts w:hint="eastAsia" w:cs="仿宋_GB2312" w:asciiTheme="minorEastAsia" w:hAnsiTheme="minorEastAsia" w:eastAsiaTheme="minorEastAsia"/>
          <w:b/>
          <w:sz w:val="24"/>
        </w:rPr>
        <w:t>　　二、政府采购合同范围和条件</w:t>
      </w:r>
    </w:p>
    <w:p w14:paraId="7D48CE06">
      <w:pPr>
        <w:adjustRightInd w:val="0"/>
        <w:snapToGrid w:val="0"/>
        <w:spacing w:line="360" w:lineRule="auto"/>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 xml:space="preserve">    本政府采购合同的范围和条件与上述政府采购合同文件的规定相一致。</w:t>
      </w:r>
    </w:p>
    <w:p w14:paraId="25E9DC1F">
      <w:pPr>
        <w:adjustRightInd w:val="0"/>
        <w:snapToGrid w:val="0"/>
        <w:spacing w:line="360" w:lineRule="auto"/>
        <w:jc w:val="left"/>
        <w:rPr>
          <w:rFonts w:cs="仿宋_GB2312" w:asciiTheme="minorEastAsia" w:hAnsiTheme="minorEastAsia" w:eastAsiaTheme="minorEastAsia"/>
          <w:b/>
          <w:sz w:val="24"/>
        </w:rPr>
      </w:pPr>
      <w:r>
        <w:rPr>
          <w:rFonts w:hint="eastAsia" w:cs="仿宋_GB2312" w:asciiTheme="minorEastAsia" w:hAnsiTheme="minorEastAsia" w:eastAsiaTheme="minorEastAsia"/>
          <w:b/>
          <w:sz w:val="24"/>
        </w:rPr>
        <w:t>　　三、政府采购合同标的</w:t>
      </w:r>
    </w:p>
    <w:p w14:paraId="15B07E98">
      <w:pPr>
        <w:adjustRightInd w:val="0"/>
        <w:snapToGrid w:val="0"/>
        <w:spacing w:line="360" w:lineRule="auto"/>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 xml:space="preserve">    本政府采购合同的标的为政府采购合同服务清单(同投标文件中投标服务价格明细表)中所列相关服务。</w:t>
      </w:r>
    </w:p>
    <w:p w14:paraId="6C6DF6C0">
      <w:pPr>
        <w:adjustRightInd w:val="0"/>
        <w:snapToGrid w:val="0"/>
        <w:spacing w:line="360" w:lineRule="auto"/>
        <w:jc w:val="left"/>
        <w:rPr>
          <w:rFonts w:cs="仿宋_GB2312" w:asciiTheme="minorEastAsia" w:hAnsiTheme="minorEastAsia" w:eastAsiaTheme="minorEastAsia"/>
          <w:b/>
          <w:sz w:val="24"/>
        </w:rPr>
      </w:pPr>
      <w:r>
        <w:rPr>
          <w:rFonts w:hint="eastAsia" w:cs="仿宋_GB2312" w:asciiTheme="minorEastAsia" w:hAnsiTheme="minorEastAsia" w:eastAsiaTheme="minorEastAsia"/>
          <w:b/>
          <w:sz w:val="24"/>
        </w:rPr>
        <w:t>　　四、政府采购合同金额</w:t>
      </w:r>
    </w:p>
    <w:p w14:paraId="6829F31B">
      <w:pPr>
        <w:adjustRightInd w:val="0"/>
        <w:snapToGrid w:val="0"/>
        <w:spacing w:line="360" w:lineRule="auto"/>
        <w:ind w:firstLine="465"/>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根据上述政府采购合同文件要求，政府采购合同的总金额为人民币柒万玖仟玖佰元整。</w:t>
      </w:r>
    </w:p>
    <w:p w14:paraId="1A1EF925">
      <w:pPr>
        <w:adjustRightInd w:val="0"/>
        <w:snapToGrid w:val="0"/>
        <w:spacing w:line="360" w:lineRule="auto"/>
        <w:ind w:firstLine="482" w:firstLineChars="200"/>
        <w:jc w:val="left"/>
        <w:rPr>
          <w:rFonts w:cs="仿宋_GB2312" w:asciiTheme="minorEastAsia" w:hAnsiTheme="minorEastAsia" w:eastAsiaTheme="minorEastAsia"/>
          <w:b/>
          <w:sz w:val="24"/>
        </w:rPr>
      </w:pPr>
      <w:r>
        <w:rPr>
          <w:rFonts w:hint="eastAsia" w:cs="仿宋_GB2312" w:asciiTheme="minorEastAsia" w:hAnsiTheme="minorEastAsia" w:eastAsiaTheme="minorEastAsia"/>
          <w:b/>
          <w:sz w:val="24"/>
        </w:rPr>
        <w:t xml:space="preserve"> 五、付款方式及条件</w:t>
      </w:r>
    </w:p>
    <w:p w14:paraId="274A5491">
      <w:pPr>
        <w:adjustRightInd w:val="0"/>
        <w:snapToGrid w:val="0"/>
        <w:spacing w:line="360" w:lineRule="auto"/>
        <w:ind w:firstLine="480" w:firstLineChars="200"/>
        <w:jc w:val="left"/>
        <w:rPr>
          <w:rFonts w:cs="仿宋_GB2312" w:asciiTheme="minorEastAsia" w:hAnsiTheme="minorEastAsia" w:eastAsiaTheme="minorEastAsia"/>
          <w:b/>
          <w:sz w:val="24"/>
        </w:rPr>
      </w:pPr>
      <w:r>
        <w:rPr>
          <w:rFonts w:hint="eastAsia" w:cs="仿宋_GB2312" w:asciiTheme="minorEastAsia" w:hAnsiTheme="minorEastAsia" w:eastAsiaTheme="minorEastAsia"/>
          <w:color w:val="000000"/>
          <w:sz w:val="24"/>
        </w:rPr>
        <w:t>经采购人验收合格后一次性支付。</w:t>
      </w:r>
    </w:p>
    <w:p w14:paraId="2351B2D2">
      <w:pPr>
        <w:adjustRightInd w:val="0"/>
        <w:snapToGrid w:val="0"/>
        <w:spacing w:line="360" w:lineRule="auto"/>
        <w:jc w:val="left"/>
        <w:rPr>
          <w:rFonts w:cs="仿宋_GB2312" w:asciiTheme="minorEastAsia" w:hAnsiTheme="minorEastAsia" w:eastAsiaTheme="minorEastAsia"/>
          <w:sz w:val="24"/>
        </w:rPr>
      </w:pPr>
      <w:r>
        <w:rPr>
          <w:rFonts w:hint="eastAsia" w:cs="仿宋_GB2312" w:asciiTheme="minorEastAsia" w:hAnsiTheme="minorEastAsia" w:eastAsiaTheme="minorEastAsia"/>
          <w:b/>
          <w:sz w:val="24"/>
        </w:rPr>
        <w:t>　　六、</w:t>
      </w:r>
      <w:r>
        <w:rPr>
          <w:rFonts w:hint="eastAsia" w:cs="FangSong_GB2312" w:asciiTheme="minorEastAsia" w:hAnsiTheme="minorEastAsia" w:eastAsiaTheme="minorEastAsia"/>
          <w:b/>
          <w:sz w:val="24"/>
        </w:rPr>
        <w:t>履约期限</w:t>
      </w:r>
      <w:r>
        <w:rPr>
          <w:rFonts w:hint="eastAsia" w:cs="仿宋_GB2312" w:asciiTheme="minorEastAsia" w:hAnsiTheme="minorEastAsia" w:eastAsiaTheme="minorEastAsia"/>
          <w:b/>
          <w:sz w:val="24"/>
        </w:rPr>
        <w:t xml:space="preserve">和地点  </w:t>
      </w:r>
      <w:r>
        <w:rPr>
          <w:rFonts w:hint="eastAsia" w:cs="仿宋_GB2312" w:asciiTheme="minorEastAsia" w:hAnsiTheme="minorEastAsia" w:eastAsiaTheme="minorEastAsia"/>
          <w:sz w:val="24"/>
        </w:rPr>
        <w:t xml:space="preserve"> </w:t>
      </w:r>
    </w:p>
    <w:p w14:paraId="7AECE2D9">
      <w:pPr>
        <w:adjustRightInd w:val="0"/>
        <w:snapToGrid w:val="0"/>
        <w:rPr>
          <w:rFonts w:cs="仿宋_GB2312" w:asciiTheme="minorEastAsia" w:hAnsiTheme="minorEastAsia" w:eastAsiaTheme="minorEastAsia"/>
          <w:sz w:val="24"/>
        </w:rPr>
      </w:pPr>
      <w:r>
        <w:rPr>
          <w:rFonts w:hint="eastAsia" w:cs="仿宋_GB2312" w:asciiTheme="minorEastAsia" w:hAnsiTheme="minorEastAsia" w:eastAsiaTheme="minorEastAsia"/>
          <w:sz w:val="24"/>
        </w:rPr>
        <w:t>履约期限：</w:t>
      </w:r>
    </w:p>
    <w:p w14:paraId="5EB530A0">
      <w:pPr>
        <w:adjustRightInd w:val="0"/>
        <w:snapToGrid w:val="0"/>
        <w:rPr>
          <w:rFonts w:cs="仿宋_GB2312" w:asciiTheme="minorEastAsia" w:hAnsiTheme="minorEastAsia" w:eastAsiaTheme="minorEastAsia"/>
          <w:sz w:val="24"/>
        </w:rPr>
      </w:pPr>
      <w:r>
        <w:rPr>
          <w:rFonts w:hint="eastAsia" w:cs="仿宋_GB2312" w:asciiTheme="minorEastAsia" w:hAnsiTheme="minorEastAsia" w:eastAsiaTheme="minorEastAsia"/>
          <w:sz w:val="24"/>
        </w:rPr>
        <w:t>签订合同之日起四个月。如在财政预算保证并且在采购单位对中标供应商服务认可的前提下，合同可续签一至二年，合同需一年一签，如遇政策调整按规定执行。</w:t>
      </w:r>
    </w:p>
    <w:p w14:paraId="2640E279">
      <w:pPr>
        <w:adjustRightInd w:val="0"/>
        <w:snapToGrid w:val="0"/>
        <w:spacing w:line="240" w:lineRule="exact"/>
        <w:rPr>
          <w:rFonts w:cs="仿宋_GB2312" w:asciiTheme="minorEastAsia" w:hAnsiTheme="minorEastAsia" w:eastAsiaTheme="minorEastAsia"/>
          <w:sz w:val="24"/>
        </w:rPr>
      </w:pPr>
    </w:p>
    <w:p w14:paraId="468F2B3E">
      <w:pPr>
        <w:adjustRightInd w:val="0"/>
        <w:snapToGrid w:val="0"/>
        <w:spacing w:line="240" w:lineRule="exact"/>
        <w:rPr>
          <w:rFonts w:cs="仿宋_GB2312" w:asciiTheme="minorEastAsia" w:hAnsiTheme="minorEastAsia" w:eastAsiaTheme="minorEastAsia"/>
          <w:sz w:val="24"/>
        </w:rPr>
      </w:pPr>
    </w:p>
    <w:p w14:paraId="5ED9BB89">
      <w:pPr>
        <w:adjustRightInd w:val="0"/>
        <w:snapToGrid w:val="0"/>
        <w:spacing w:line="360" w:lineRule="auto"/>
        <w:jc w:val="left"/>
        <w:rPr>
          <w:rFonts w:cs="FangSong_GB2312" w:asciiTheme="minorEastAsia" w:hAnsiTheme="minorEastAsia" w:eastAsiaTheme="minorEastAsia"/>
          <w:sz w:val="24"/>
        </w:rPr>
      </w:pPr>
      <w:r>
        <w:rPr>
          <w:rFonts w:hint="eastAsia" w:cs="FangSong_GB2312" w:asciiTheme="minorEastAsia" w:hAnsiTheme="minorEastAsia" w:eastAsiaTheme="minorEastAsia"/>
          <w:sz w:val="24"/>
        </w:rPr>
        <w:t>履约地点：采购人指定地点（鞍山境内）</w:t>
      </w:r>
    </w:p>
    <w:p w14:paraId="6B0FEBB8">
      <w:pPr>
        <w:adjustRightInd w:val="0"/>
        <w:snapToGrid w:val="0"/>
        <w:spacing w:line="360" w:lineRule="auto"/>
        <w:jc w:val="left"/>
        <w:rPr>
          <w:rFonts w:cs="仿宋_GB2312" w:asciiTheme="minorEastAsia" w:hAnsiTheme="minorEastAsia" w:eastAsiaTheme="minorEastAsia"/>
          <w:b/>
          <w:sz w:val="24"/>
        </w:rPr>
      </w:pPr>
      <w:r>
        <w:rPr>
          <w:rFonts w:hint="eastAsia" w:cs="仿宋_GB2312" w:asciiTheme="minorEastAsia" w:hAnsiTheme="minorEastAsia" w:eastAsiaTheme="minorEastAsia"/>
          <w:sz w:val="24"/>
        </w:rPr>
        <w:t xml:space="preserve">  </w:t>
      </w:r>
      <w:r>
        <w:rPr>
          <w:rFonts w:hint="eastAsia" w:cs="仿宋_GB2312" w:asciiTheme="minorEastAsia" w:hAnsiTheme="minorEastAsia" w:eastAsiaTheme="minorEastAsia"/>
          <w:b/>
          <w:sz w:val="24"/>
        </w:rPr>
        <w:t>　　七、验收要求</w:t>
      </w:r>
    </w:p>
    <w:p w14:paraId="1DC05E2E">
      <w:pPr>
        <w:adjustRightInd w:val="0"/>
        <w:snapToGrid w:val="0"/>
        <w:spacing w:line="360" w:lineRule="auto"/>
        <w:jc w:val="left"/>
        <w:rPr>
          <w:rFonts w:cs="仿宋_GB2312" w:asciiTheme="minorEastAsia" w:hAnsiTheme="minorEastAsia" w:eastAsiaTheme="minorEastAsia"/>
          <w:sz w:val="24"/>
          <w:u w:val="single"/>
        </w:rPr>
      </w:pPr>
      <w:r>
        <w:rPr>
          <w:rFonts w:hint="eastAsia" w:cs="仿宋_GB2312" w:asciiTheme="minorEastAsia" w:hAnsiTheme="minorEastAsia" w:eastAsiaTheme="minorEastAsia"/>
          <w:b/>
          <w:sz w:val="24"/>
        </w:rPr>
        <w:t xml:space="preserve">    </w:t>
      </w:r>
      <w:r>
        <w:rPr>
          <w:rFonts w:hint="eastAsia" w:cs="仿宋_GB2312" w:asciiTheme="minorEastAsia" w:hAnsiTheme="minorEastAsia" w:eastAsiaTheme="minorEastAsia"/>
          <w:sz w:val="24"/>
        </w:rPr>
        <w:t>供方完全履行合同义务后，需方或需方的最终用户按照上述政府采购合同文件列明的标准进行验收，验收不合格的，供方需按照第八条的约定承担相应违约责任。</w:t>
      </w:r>
    </w:p>
    <w:p w14:paraId="041B3799">
      <w:pPr>
        <w:adjustRightInd w:val="0"/>
        <w:snapToGrid w:val="0"/>
        <w:spacing w:line="360" w:lineRule="auto"/>
        <w:jc w:val="left"/>
        <w:rPr>
          <w:rFonts w:cs="仿宋_GB2312" w:asciiTheme="minorEastAsia" w:hAnsiTheme="minorEastAsia" w:eastAsiaTheme="minorEastAsia"/>
          <w:b/>
          <w:sz w:val="24"/>
        </w:rPr>
      </w:pPr>
      <w:r>
        <w:rPr>
          <w:rFonts w:hint="eastAsia" w:cs="仿宋_GB2312" w:asciiTheme="minorEastAsia" w:hAnsiTheme="minorEastAsia" w:eastAsiaTheme="minorEastAsia"/>
          <w:b/>
          <w:sz w:val="24"/>
        </w:rPr>
        <w:t xml:space="preserve">    八、违约责任</w:t>
      </w:r>
    </w:p>
    <w:p w14:paraId="126860A4">
      <w:pPr>
        <w:adjustRightInd w:val="0"/>
        <w:snapToGrid w:val="0"/>
        <w:spacing w:line="360" w:lineRule="auto"/>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 xml:space="preserve">    1.供方逾期提供服务的，每逾期一天向需方支付合同金额</w:t>
      </w:r>
      <w:r>
        <w:rPr>
          <w:rFonts w:hint="eastAsia" w:cs="仿宋_GB2312" w:asciiTheme="minorEastAsia" w:hAnsiTheme="minorEastAsia" w:eastAsiaTheme="minorEastAsia"/>
          <w:sz w:val="24"/>
          <w:u w:val="single"/>
        </w:rPr>
        <w:t xml:space="preserve">  </w:t>
      </w:r>
      <w:r>
        <w:rPr>
          <w:rFonts w:hint="eastAsia" w:cs="仿宋_GB2312" w:asciiTheme="minorEastAsia" w:hAnsiTheme="minorEastAsia" w:eastAsiaTheme="minorEastAsia"/>
          <w:sz w:val="24"/>
        </w:rPr>
        <w:t>%的违约金，逾期</w:t>
      </w:r>
      <w:r>
        <w:rPr>
          <w:rFonts w:hint="eastAsia" w:cs="仿宋_GB2312" w:asciiTheme="minorEastAsia" w:hAnsiTheme="minorEastAsia" w:eastAsiaTheme="minorEastAsia"/>
          <w:sz w:val="24"/>
          <w:u w:val="single"/>
        </w:rPr>
        <w:t xml:space="preserve">  </w:t>
      </w:r>
      <w:r>
        <w:rPr>
          <w:rFonts w:hint="eastAsia" w:cs="仿宋_GB2312" w:asciiTheme="minorEastAsia" w:hAnsiTheme="minorEastAsia" w:eastAsiaTheme="minorEastAsia"/>
          <w:sz w:val="24"/>
        </w:rPr>
        <w:t>日的，需方有权单方面解除本协议。</w:t>
      </w:r>
    </w:p>
    <w:p w14:paraId="0366F7F3">
      <w:pPr>
        <w:adjustRightInd w:val="0"/>
        <w:snapToGrid w:val="0"/>
        <w:spacing w:line="360" w:lineRule="auto"/>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 xml:space="preserve">    2.供方提供的服务不符合约定的，需方有权向供方书面提出整改意见，供方需无条件整改至符合约定，自需方向供方提出书面意见之日起</w:t>
      </w:r>
      <w:r>
        <w:rPr>
          <w:rFonts w:hint="eastAsia" w:cs="仿宋_GB2312" w:asciiTheme="minorEastAsia" w:hAnsiTheme="minorEastAsia" w:eastAsiaTheme="minorEastAsia"/>
          <w:sz w:val="24"/>
          <w:u w:val="single"/>
        </w:rPr>
        <w:t xml:space="preserve">  </w:t>
      </w:r>
      <w:r>
        <w:rPr>
          <w:rFonts w:hint="eastAsia" w:cs="仿宋_GB2312" w:asciiTheme="minorEastAsia" w:hAnsiTheme="minorEastAsia" w:eastAsiaTheme="minorEastAsia"/>
          <w:sz w:val="24"/>
        </w:rPr>
        <w:t>日内，供方仍未整改或整改后服务仍不符合约定的，需方有权单方面解除本协议。</w:t>
      </w:r>
    </w:p>
    <w:p w14:paraId="4CC48ED3">
      <w:pPr>
        <w:adjustRightInd w:val="0"/>
        <w:snapToGrid w:val="0"/>
        <w:spacing w:line="360" w:lineRule="auto"/>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 xml:space="preserve">    3.需方逾期付款的，每逾期一天向供方支付逾期金额</w:t>
      </w:r>
      <w:r>
        <w:rPr>
          <w:rFonts w:hint="eastAsia" w:cs="仿宋_GB2312" w:asciiTheme="minorEastAsia" w:hAnsiTheme="minorEastAsia" w:eastAsiaTheme="minorEastAsia"/>
          <w:sz w:val="24"/>
          <w:u w:val="single"/>
        </w:rPr>
        <w:t xml:space="preserve">  </w:t>
      </w:r>
      <w:r>
        <w:rPr>
          <w:rFonts w:hint="eastAsia" w:cs="仿宋_GB2312" w:asciiTheme="minorEastAsia" w:hAnsiTheme="minorEastAsia" w:eastAsiaTheme="minorEastAsia"/>
          <w:sz w:val="24"/>
        </w:rPr>
        <w:t>%的违约金，逾期</w:t>
      </w:r>
      <w:r>
        <w:rPr>
          <w:rFonts w:hint="eastAsia" w:cs="仿宋_GB2312" w:asciiTheme="minorEastAsia" w:hAnsiTheme="minorEastAsia" w:eastAsiaTheme="minorEastAsia"/>
          <w:sz w:val="24"/>
          <w:u w:val="single"/>
        </w:rPr>
        <w:t xml:space="preserve">  </w:t>
      </w:r>
      <w:r>
        <w:rPr>
          <w:rFonts w:hint="eastAsia" w:cs="仿宋_GB2312" w:asciiTheme="minorEastAsia" w:hAnsiTheme="minorEastAsia" w:eastAsiaTheme="minorEastAsia"/>
          <w:sz w:val="24"/>
        </w:rPr>
        <w:t>日的，供方有权单方面解除本协议。</w:t>
      </w:r>
    </w:p>
    <w:p w14:paraId="4C956F56">
      <w:pPr>
        <w:adjustRightInd w:val="0"/>
        <w:snapToGrid w:val="0"/>
        <w:spacing w:line="360" w:lineRule="auto"/>
        <w:jc w:val="left"/>
        <w:rPr>
          <w:rFonts w:cs="仿宋_GB2312" w:asciiTheme="minorEastAsia" w:hAnsiTheme="minorEastAsia" w:eastAsiaTheme="minorEastAsia"/>
          <w:b/>
          <w:sz w:val="24"/>
        </w:rPr>
      </w:pPr>
      <w:r>
        <w:rPr>
          <w:rFonts w:hint="eastAsia" w:cs="仿宋_GB2312" w:asciiTheme="minorEastAsia" w:hAnsiTheme="minorEastAsia" w:eastAsiaTheme="minorEastAsia"/>
          <w:b/>
          <w:sz w:val="24"/>
        </w:rPr>
        <w:t xml:space="preserve">    九、争议解决</w:t>
      </w:r>
    </w:p>
    <w:p w14:paraId="16BF5BD4">
      <w:pPr>
        <w:adjustRightInd w:val="0"/>
        <w:snapToGrid w:val="0"/>
        <w:spacing w:line="360" w:lineRule="auto"/>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 xml:space="preserve">    双方因履行本协议而产生的争议，应友好协商解决，协商不成的，任何一方可向需方所在地的人民法院提起诉讼。</w:t>
      </w:r>
    </w:p>
    <w:p w14:paraId="42C728EF">
      <w:pPr>
        <w:adjustRightInd w:val="0"/>
        <w:snapToGrid w:val="0"/>
        <w:spacing w:line="360" w:lineRule="auto"/>
        <w:jc w:val="left"/>
        <w:rPr>
          <w:rFonts w:cs="仿宋_GB2312" w:asciiTheme="minorEastAsia" w:hAnsiTheme="minorEastAsia" w:eastAsiaTheme="minorEastAsia"/>
          <w:b/>
          <w:sz w:val="24"/>
        </w:rPr>
      </w:pPr>
      <w:r>
        <w:rPr>
          <w:rFonts w:hint="eastAsia" w:cs="仿宋_GB2312" w:asciiTheme="minorEastAsia" w:hAnsiTheme="minorEastAsia" w:eastAsiaTheme="minorEastAsia"/>
          <w:b/>
          <w:sz w:val="24"/>
        </w:rPr>
        <w:t xml:space="preserve">    十、合同生效</w:t>
      </w:r>
    </w:p>
    <w:p w14:paraId="72C566EE">
      <w:pPr>
        <w:adjustRightInd w:val="0"/>
        <w:snapToGrid w:val="0"/>
        <w:spacing w:line="360" w:lineRule="auto"/>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 xml:space="preserve">      本政府采购合同经双方授权代表签字盖章后生效。</w:t>
      </w:r>
    </w:p>
    <w:p w14:paraId="4249FCBE">
      <w:pPr>
        <w:adjustRightInd w:val="0"/>
        <w:snapToGrid w:val="0"/>
        <w:spacing w:line="360" w:lineRule="auto"/>
        <w:ind w:firstLine="480" w:firstLineChars="200"/>
        <w:jc w:val="left"/>
        <w:rPr>
          <w:rFonts w:cs="仿宋_GB2312" w:asciiTheme="minorEastAsia" w:hAnsiTheme="minorEastAsia" w:eastAsiaTheme="minorEastAsia"/>
          <w:sz w:val="24"/>
        </w:rPr>
      </w:pPr>
    </w:p>
    <w:p w14:paraId="36AC348F">
      <w:pPr>
        <w:adjustRightInd w:val="0"/>
        <w:snapToGrid w:val="0"/>
        <w:spacing w:line="360" w:lineRule="auto"/>
        <w:ind w:firstLine="480" w:firstLineChars="200"/>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需方（公章）:                       供方(公章):</w:t>
      </w:r>
    </w:p>
    <w:p w14:paraId="6D35C400">
      <w:pPr>
        <w:adjustRightInd w:val="0"/>
        <w:snapToGrid w:val="0"/>
        <w:spacing w:line="360" w:lineRule="auto"/>
        <w:ind w:firstLine="480" w:firstLineChars="200"/>
        <w:jc w:val="left"/>
        <w:rPr>
          <w:rFonts w:cs="仿宋_GB2312" w:asciiTheme="minorEastAsia" w:hAnsiTheme="minorEastAsia" w:eastAsiaTheme="minorEastAsia"/>
          <w:sz w:val="24"/>
        </w:rPr>
      </w:pPr>
    </w:p>
    <w:p w14:paraId="3E9400CA">
      <w:pPr>
        <w:adjustRightInd w:val="0"/>
        <w:snapToGrid w:val="0"/>
        <w:spacing w:line="360" w:lineRule="auto"/>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法定代表人或授权代表人(签字):      　　 法定代表人或授权代表人(签字):</w:t>
      </w:r>
    </w:p>
    <w:p w14:paraId="356F98AF">
      <w:pPr>
        <w:adjustRightInd w:val="0"/>
        <w:snapToGrid w:val="0"/>
        <w:spacing w:line="360" w:lineRule="auto"/>
        <w:jc w:val="left"/>
        <w:rPr>
          <w:rFonts w:cs="仿宋_GB2312" w:asciiTheme="minorEastAsia" w:hAnsiTheme="minorEastAsia" w:eastAsiaTheme="minorEastAsia"/>
          <w:sz w:val="24"/>
          <w:u w:val="single"/>
        </w:rPr>
      </w:pPr>
      <w:r>
        <w:rPr>
          <w:rFonts w:hint="eastAsia" w:cs="仿宋_GB2312" w:asciiTheme="minorEastAsia" w:hAnsiTheme="minorEastAsia" w:eastAsiaTheme="minorEastAsia"/>
          <w:sz w:val="24"/>
        </w:rPr>
        <w:t>地址：</w:t>
      </w:r>
      <w:r>
        <w:rPr>
          <w:rFonts w:hint="eastAsia" w:cs="仿宋_GB2312" w:asciiTheme="minorEastAsia" w:hAnsiTheme="minorEastAsia" w:eastAsiaTheme="minorEastAsia"/>
          <w:sz w:val="24"/>
          <w:u w:val="single"/>
        </w:rPr>
        <w:t xml:space="preserve">                        </w:t>
      </w:r>
      <w:r>
        <w:rPr>
          <w:rFonts w:hint="eastAsia" w:cs="仿宋_GB2312" w:asciiTheme="minorEastAsia" w:hAnsiTheme="minorEastAsia" w:eastAsiaTheme="minorEastAsia"/>
          <w:sz w:val="24"/>
        </w:rPr>
        <w:t xml:space="preserve">     　　 地址：</w:t>
      </w:r>
      <w:r>
        <w:rPr>
          <w:rFonts w:hint="eastAsia" w:cs="仿宋_GB2312" w:asciiTheme="minorEastAsia" w:hAnsiTheme="minorEastAsia" w:eastAsiaTheme="minorEastAsia"/>
          <w:sz w:val="24"/>
          <w:u w:val="single"/>
        </w:rPr>
        <w:t xml:space="preserve">                          </w:t>
      </w:r>
    </w:p>
    <w:p w14:paraId="7B09B015">
      <w:pPr>
        <w:adjustRightInd w:val="0"/>
        <w:snapToGrid w:val="0"/>
        <w:spacing w:line="360" w:lineRule="auto"/>
        <w:rPr>
          <w:rFonts w:cs="仿宋_GB2312" w:asciiTheme="minorEastAsia" w:hAnsiTheme="minorEastAsia" w:eastAsiaTheme="minorEastAsia"/>
          <w:sz w:val="24"/>
        </w:rPr>
      </w:pPr>
      <w:r>
        <w:rPr>
          <w:rFonts w:hint="eastAsia" w:cs="仿宋_GB2312" w:asciiTheme="minorEastAsia" w:hAnsiTheme="minorEastAsia" w:eastAsiaTheme="minorEastAsia"/>
          <w:sz w:val="24"/>
        </w:rPr>
        <w:t>联系人：</w:t>
      </w:r>
      <w:r>
        <w:rPr>
          <w:rFonts w:hint="eastAsia" w:cs="仿宋_GB2312" w:asciiTheme="minorEastAsia" w:hAnsiTheme="minorEastAsia" w:eastAsiaTheme="minorEastAsia"/>
          <w:sz w:val="24"/>
          <w:u w:val="single"/>
        </w:rPr>
        <w:t xml:space="preserve">                      </w:t>
      </w:r>
      <w:r>
        <w:rPr>
          <w:rFonts w:hint="eastAsia" w:cs="仿宋_GB2312" w:asciiTheme="minorEastAsia" w:hAnsiTheme="minorEastAsia" w:eastAsiaTheme="minorEastAsia"/>
          <w:sz w:val="24"/>
        </w:rPr>
        <w:t xml:space="preserve">      　　联系人：</w:t>
      </w:r>
      <w:r>
        <w:rPr>
          <w:rFonts w:hint="eastAsia" w:cs="仿宋_GB2312" w:asciiTheme="minorEastAsia" w:hAnsiTheme="minorEastAsia" w:eastAsiaTheme="minorEastAsia"/>
          <w:sz w:val="24"/>
          <w:u w:val="single"/>
        </w:rPr>
        <w:t xml:space="preserve">                        </w:t>
      </w:r>
    </w:p>
    <w:p w14:paraId="1E9927B6">
      <w:pPr>
        <w:adjustRightInd w:val="0"/>
        <w:snapToGrid w:val="0"/>
        <w:spacing w:line="360" w:lineRule="auto"/>
        <w:rPr>
          <w:rFonts w:cs="仿宋_GB2312" w:asciiTheme="minorEastAsia" w:hAnsiTheme="minorEastAsia" w:eastAsiaTheme="minorEastAsia"/>
          <w:sz w:val="24"/>
          <w:u w:val="single"/>
        </w:rPr>
      </w:pPr>
      <w:r>
        <w:rPr>
          <w:rFonts w:hint="eastAsia" w:cs="仿宋_GB2312" w:asciiTheme="minorEastAsia" w:hAnsiTheme="minorEastAsia" w:eastAsiaTheme="minorEastAsia"/>
          <w:sz w:val="24"/>
        </w:rPr>
        <w:t>电话：</w:t>
      </w:r>
      <w:r>
        <w:rPr>
          <w:rFonts w:hint="eastAsia" w:cs="仿宋_GB2312" w:asciiTheme="minorEastAsia" w:hAnsiTheme="minorEastAsia" w:eastAsiaTheme="minorEastAsia"/>
          <w:sz w:val="24"/>
          <w:u w:val="single"/>
        </w:rPr>
        <w:t xml:space="preserve">                        </w:t>
      </w:r>
      <w:r>
        <w:rPr>
          <w:rFonts w:hint="eastAsia" w:cs="仿宋_GB2312" w:asciiTheme="minorEastAsia" w:hAnsiTheme="minorEastAsia" w:eastAsiaTheme="minorEastAsia"/>
          <w:sz w:val="24"/>
        </w:rPr>
        <w:t xml:space="preserve">     　　 电话：</w:t>
      </w:r>
      <w:r>
        <w:rPr>
          <w:rFonts w:hint="eastAsia" w:cs="仿宋_GB2312" w:asciiTheme="minorEastAsia" w:hAnsiTheme="minorEastAsia" w:eastAsiaTheme="minorEastAsia"/>
          <w:sz w:val="24"/>
          <w:u w:val="single"/>
        </w:rPr>
        <w:t xml:space="preserve">                          </w:t>
      </w:r>
    </w:p>
    <w:p w14:paraId="26E0C151">
      <w:pPr>
        <w:adjustRightInd w:val="0"/>
        <w:snapToGrid w:val="0"/>
        <w:spacing w:line="360" w:lineRule="auto"/>
        <w:rPr>
          <w:rFonts w:cs="仿宋_GB2312" w:asciiTheme="minorEastAsia" w:hAnsiTheme="minorEastAsia" w:eastAsiaTheme="minorEastAsia"/>
          <w:sz w:val="24"/>
          <w:u w:val="single"/>
        </w:rPr>
      </w:pPr>
      <w:r>
        <w:rPr>
          <w:rFonts w:hint="eastAsia" w:cs="仿宋_GB2312" w:asciiTheme="minorEastAsia" w:hAnsiTheme="minorEastAsia" w:eastAsiaTheme="minorEastAsia"/>
          <w:sz w:val="24"/>
        </w:rPr>
        <w:t>传真：</w:t>
      </w:r>
      <w:r>
        <w:rPr>
          <w:rFonts w:hint="eastAsia" w:cs="仿宋_GB2312" w:asciiTheme="minorEastAsia" w:hAnsiTheme="minorEastAsia" w:eastAsiaTheme="minorEastAsia"/>
          <w:sz w:val="24"/>
          <w:u w:val="single"/>
        </w:rPr>
        <w:t xml:space="preserve">                        </w:t>
      </w:r>
      <w:r>
        <w:rPr>
          <w:rFonts w:hint="eastAsia" w:cs="仿宋_GB2312" w:asciiTheme="minorEastAsia" w:hAnsiTheme="minorEastAsia" w:eastAsiaTheme="minorEastAsia"/>
          <w:sz w:val="24"/>
        </w:rPr>
        <w:t xml:space="preserve">     　　 传真：</w:t>
      </w:r>
      <w:r>
        <w:rPr>
          <w:rFonts w:hint="eastAsia" w:cs="仿宋_GB2312" w:asciiTheme="minorEastAsia" w:hAnsiTheme="minorEastAsia" w:eastAsiaTheme="minorEastAsia"/>
          <w:sz w:val="24"/>
          <w:u w:val="single"/>
        </w:rPr>
        <w:t xml:space="preserve">                          </w:t>
      </w:r>
    </w:p>
    <w:p w14:paraId="70B6B7F4">
      <w:pPr>
        <w:adjustRightInd w:val="0"/>
        <w:snapToGrid w:val="0"/>
        <w:spacing w:line="360" w:lineRule="auto"/>
        <w:rPr>
          <w:rFonts w:cs="仿宋_GB2312" w:asciiTheme="minorEastAsia" w:hAnsiTheme="minorEastAsia" w:eastAsiaTheme="minorEastAsia"/>
          <w:sz w:val="24"/>
          <w:u w:val="single"/>
        </w:rPr>
      </w:pPr>
      <w:r>
        <w:rPr>
          <w:rFonts w:hint="eastAsia" w:cs="仿宋_GB2312" w:asciiTheme="minorEastAsia" w:hAnsiTheme="minorEastAsia" w:eastAsiaTheme="minorEastAsia"/>
          <w:sz w:val="24"/>
        </w:rPr>
        <w:t>邮编：</w:t>
      </w:r>
      <w:r>
        <w:rPr>
          <w:rFonts w:hint="eastAsia" w:cs="仿宋_GB2312" w:asciiTheme="minorEastAsia" w:hAnsiTheme="minorEastAsia" w:eastAsiaTheme="minorEastAsia"/>
          <w:sz w:val="24"/>
          <w:u w:val="single"/>
        </w:rPr>
        <w:t xml:space="preserve">                        </w:t>
      </w:r>
      <w:r>
        <w:rPr>
          <w:rFonts w:hint="eastAsia" w:cs="仿宋_GB2312" w:asciiTheme="minorEastAsia" w:hAnsiTheme="minorEastAsia" w:eastAsiaTheme="minorEastAsia"/>
          <w:sz w:val="24"/>
        </w:rPr>
        <w:t xml:space="preserve">     　　 邮编：</w:t>
      </w:r>
      <w:r>
        <w:rPr>
          <w:rFonts w:hint="eastAsia" w:cs="仿宋_GB2312" w:asciiTheme="minorEastAsia" w:hAnsiTheme="minorEastAsia" w:eastAsiaTheme="minorEastAsia"/>
          <w:sz w:val="24"/>
          <w:u w:val="single"/>
        </w:rPr>
        <w:t xml:space="preserve">                          </w:t>
      </w:r>
    </w:p>
    <w:p w14:paraId="1BAAE03D">
      <w:pPr>
        <w:adjustRightInd w:val="0"/>
        <w:snapToGrid w:val="0"/>
        <w:spacing w:line="360" w:lineRule="auto"/>
        <w:rPr>
          <w:rFonts w:cs="仿宋_GB2312" w:asciiTheme="minorEastAsia" w:hAnsiTheme="minorEastAsia" w:eastAsiaTheme="minorEastAsia"/>
          <w:sz w:val="24"/>
          <w:u w:val="single"/>
        </w:rPr>
      </w:pPr>
      <w:r>
        <w:rPr>
          <w:rFonts w:hint="eastAsia" w:cs="仿宋_GB2312" w:asciiTheme="minorEastAsia" w:hAnsiTheme="minorEastAsia" w:eastAsiaTheme="minorEastAsia"/>
          <w:sz w:val="24"/>
        </w:rPr>
        <w:t>日期：</w:t>
      </w:r>
      <w:r>
        <w:rPr>
          <w:rFonts w:hint="eastAsia" w:cs="仿宋_GB2312" w:asciiTheme="minorEastAsia" w:hAnsiTheme="minorEastAsia" w:eastAsiaTheme="minorEastAsia"/>
          <w:sz w:val="24"/>
          <w:u w:val="single"/>
        </w:rPr>
        <w:t xml:space="preserve">  　年      月      日</w:t>
      </w:r>
      <w:r>
        <w:rPr>
          <w:rFonts w:hint="eastAsia" w:cs="仿宋_GB2312" w:asciiTheme="minorEastAsia" w:hAnsiTheme="minorEastAsia" w:eastAsiaTheme="minorEastAsia"/>
          <w:sz w:val="24"/>
        </w:rPr>
        <w:t xml:space="preserve">  　  　　　日期：</w:t>
      </w:r>
      <w:r>
        <w:rPr>
          <w:rFonts w:hint="eastAsia" w:cs="仿宋_GB2312" w:asciiTheme="minorEastAsia" w:hAnsiTheme="minorEastAsia" w:eastAsiaTheme="minorEastAsia"/>
          <w:sz w:val="24"/>
          <w:u w:val="single"/>
        </w:rPr>
        <w:t xml:space="preserve">       年      月     日</w:t>
      </w:r>
    </w:p>
    <w:p w14:paraId="7A343831">
      <w:pPr>
        <w:adjustRightInd w:val="0"/>
        <w:snapToGrid w:val="0"/>
        <w:spacing w:line="360" w:lineRule="auto"/>
        <w:jc w:val="left"/>
        <w:rPr>
          <w:rFonts w:cs="仿宋_GB2312" w:asciiTheme="minorEastAsia" w:hAnsiTheme="minorEastAsia" w:eastAsiaTheme="minorEastAsia"/>
          <w:b/>
          <w:sz w:val="24"/>
        </w:rPr>
      </w:pPr>
    </w:p>
    <w:p w14:paraId="70D6B3BE">
      <w:pPr>
        <w:adjustRightInd w:val="0"/>
        <w:snapToGrid w:val="0"/>
        <w:spacing w:line="360" w:lineRule="auto"/>
        <w:jc w:val="left"/>
        <w:rPr>
          <w:rFonts w:cs="仿宋_GB2312" w:asciiTheme="minorEastAsia" w:hAnsiTheme="minorEastAsia" w:eastAsiaTheme="minorEastAsia"/>
          <w:b/>
          <w:sz w:val="24"/>
        </w:rPr>
      </w:pPr>
    </w:p>
    <w:p w14:paraId="7A7B55B1">
      <w:pPr>
        <w:adjustRightInd w:val="0"/>
        <w:snapToGrid w:val="0"/>
        <w:spacing w:line="360" w:lineRule="auto"/>
        <w:jc w:val="left"/>
        <w:rPr>
          <w:rFonts w:cs="仿宋_GB2312" w:asciiTheme="minorEastAsia" w:hAnsiTheme="minorEastAsia" w:eastAsiaTheme="minorEastAsia"/>
          <w:b/>
          <w:sz w:val="24"/>
        </w:rPr>
      </w:pPr>
    </w:p>
    <w:p w14:paraId="3E45DCCD">
      <w:pPr>
        <w:adjustRightInd w:val="0"/>
        <w:snapToGrid w:val="0"/>
        <w:spacing w:line="360" w:lineRule="auto"/>
        <w:jc w:val="left"/>
        <w:rPr>
          <w:rFonts w:cs="仿宋_GB2312" w:asciiTheme="minorEastAsia" w:hAnsiTheme="minorEastAsia" w:eastAsiaTheme="minorEastAsia"/>
          <w:b/>
          <w:sz w:val="24"/>
        </w:rPr>
      </w:pPr>
    </w:p>
    <w:p w14:paraId="506D8052">
      <w:pPr>
        <w:adjustRightInd w:val="0"/>
        <w:snapToGrid w:val="0"/>
        <w:spacing w:line="360" w:lineRule="auto"/>
        <w:jc w:val="left"/>
        <w:rPr>
          <w:rFonts w:cs="仿宋_GB2312" w:asciiTheme="minorEastAsia" w:hAnsiTheme="minorEastAsia" w:eastAsiaTheme="minorEastAsia"/>
          <w:b/>
          <w:sz w:val="24"/>
        </w:rPr>
      </w:pPr>
      <w:r>
        <w:rPr>
          <w:rFonts w:hint="eastAsia" w:cs="仿宋_GB2312" w:asciiTheme="minorEastAsia" w:hAnsiTheme="minorEastAsia" w:eastAsiaTheme="minorEastAsia"/>
          <w:b/>
          <w:sz w:val="24"/>
        </w:rPr>
        <w:t>政府采购合同条款</w:t>
      </w:r>
      <w:bookmarkEnd w:id="2"/>
    </w:p>
    <w:p w14:paraId="761A4FA7">
      <w:pPr>
        <w:rPr>
          <w:rFonts w:cs="仿宋_GB2312" w:asciiTheme="minorEastAsia" w:hAnsiTheme="minorEastAsia" w:eastAsiaTheme="minorEastAsia"/>
          <w:sz w:val="24"/>
        </w:rPr>
      </w:pPr>
    </w:p>
    <w:p w14:paraId="2816707D">
      <w:pPr>
        <w:numPr>
          <w:ilvl w:val="0"/>
          <w:numId w:val="1"/>
        </w:numPr>
        <w:adjustRightInd w:val="0"/>
        <w:snapToGrid w:val="0"/>
        <w:spacing w:line="360" w:lineRule="auto"/>
        <w:rPr>
          <w:rFonts w:cs="仿宋_GB2312" w:asciiTheme="minorEastAsia" w:hAnsiTheme="minorEastAsia" w:eastAsiaTheme="minorEastAsia"/>
          <w:b/>
          <w:sz w:val="24"/>
        </w:rPr>
      </w:pPr>
      <w:bookmarkStart w:id="3" w:name="_Toc10297_WPSOffice_Level2"/>
      <w:r>
        <w:rPr>
          <w:rFonts w:hint="eastAsia" w:cs="仿宋_GB2312" w:asciiTheme="minorEastAsia" w:hAnsiTheme="minorEastAsia" w:eastAsiaTheme="minorEastAsia"/>
          <w:b/>
          <w:sz w:val="24"/>
        </w:rPr>
        <w:t>术语定义</w:t>
      </w:r>
    </w:p>
    <w:p w14:paraId="65F1E492">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本政府采购合同下列术语应解释为：</w:t>
      </w:r>
    </w:p>
    <w:p w14:paraId="310B42D9">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1</w:t>
      </w:r>
      <w:r>
        <w:rPr>
          <w:rFonts w:hint="eastAsia" w:cs="仿宋_GB2312" w:asciiTheme="minorEastAsia" w:hAnsiTheme="minorEastAsia" w:eastAsiaTheme="minorEastAsia"/>
          <w:b/>
          <w:sz w:val="24"/>
        </w:rPr>
        <w:t>.</w:t>
      </w:r>
      <w:r>
        <w:rPr>
          <w:rFonts w:hint="eastAsia" w:cs="仿宋_GB2312" w:asciiTheme="minorEastAsia" w:hAnsiTheme="minorEastAsia" w:eastAsiaTheme="minorEastAsia"/>
          <w:sz w:val="24"/>
        </w:rPr>
        <w:t>1“政府采购合同”指供需双方依照政府采购程序、按照招标文件投标文件确定的事项所达成的协议，包括附件、附录和上述文件所提到的构成政府采购合同的所有文件。</w:t>
      </w:r>
    </w:p>
    <w:p w14:paraId="7960650B">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1</w:t>
      </w:r>
      <w:r>
        <w:rPr>
          <w:rFonts w:hint="eastAsia" w:cs="仿宋_GB2312" w:asciiTheme="minorEastAsia" w:hAnsiTheme="minorEastAsia" w:eastAsiaTheme="minorEastAsia"/>
          <w:b/>
          <w:sz w:val="24"/>
        </w:rPr>
        <w:t>.</w:t>
      </w:r>
      <w:r>
        <w:rPr>
          <w:rFonts w:hint="eastAsia" w:cs="仿宋_GB2312" w:asciiTheme="minorEastAsia" w:hAnsiTheme="minorEastAsia" w:eastAsiaTheme="minorEastAsia"/>
          <w:sz w:val="24"/>
        </w:rPr>
        <w:t>2 “政府采购合同价”指根据合同约定供方在正确地完全履行政府采购合同义务后需方应支付给供方的价格。</w:t>
      </w:r>
    </w:p>
    <w:p w14:paraId="33996737">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1</w:t>
      </w:r>
      <w:r>
        <w:rPr>
          <w:rFonts w:hint="eastAsia" w:cs="仿宋_GB2312" w:asciiTheme="minorEastAsia" w:hAnsiTheme="minorEastAsia" w:eastAsiaTheme="minorEastAsia"/>
          <w:b/>
          <w:sz w:val="24"/>
        </w:rPr>
        <w:t>.</w:t>
      </w:r>
      <w:r>
        <w:rPr>
          <w:rFonts w:hint="eastAsia" w:cs="仿宋_GB2312" w:asciiTheme="minorEastAsia" w:hAnsiTheme="minorEastAsia" w:eastAsiaTheme="minorEastAsia"/>
          <w:sz w:val="24"/>
        </w:rPr>
        <w:t>3 “服务”指政府采购合同服务清单（同投标文件中开标一览表及其附表，下同）所约定的服务内容。</w:t>
      </w:r>
    </w:p>
    <w:p w14:paraId="2445EADC">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1</w:t>
      </w:r>
      <w:r>
        <w:rPr>
          <w:rFonts w:hint="eastAsia" w:cs="仿宋_GB2312" w:asciiTheme="minorEastAsia" w:hAnsiTheme="minorEastAsia" w:eastAsiaTheme="minorEastAsia"/>
          <w:b/>
          <w:sz w:val="24"/>
        </w:rPr>
        <w:t>.</w:t>
      </w:r>
      <w:r>
        <w:rPr>
          <w:rFonts w:hint="eastAsia" w:cs="仿宋_GB2312" w:asciiTheme="minorEastAsia" w:hAnsiTheme="minorEastAsia" w:eastAsiaTheme="minorEastAsia"/>
          <w:sz w:val="24"/>
        </w:rPr>
        <w:t>5 “需方”指项目基本内容及要求中所述取得产品和服务的采购单位。</w:t>
      </w:r>
    </w:p>
    <w:p w14:paraId="5516D5A2">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1</w:t>
      </w:r>
      <w:r>
        <w:rPr>
          <w:rFonts w:hint="eastAsia" w:cs="仿宋_GB2312" w:asciiTheme="minorEastAsia" w:hAnsiTheme="minorEastAsia" w:eastAsiaTheme="minorEastAsia"/>
          <w:b/>
          <w:sz w:val="24"/>
        </w:rPr>
        <w:t>.</w:t>
      </w:r>
      <w:r>
        <w:rPr>
          <w:rFonts w:hint="eastAsia" w:cs="仿宋_GB2312" w:asciiTheme="minorEastAsia" w:hAnsiTheme="minorEastAsia" w:eastAsiaTheme="minorEastAsia"/>
          <w:sz w:val="24"/>
        </w:rPr>
        <w:t>6 “供方”指项目基本内容及要求中所述提供产品和服务的中标供应商。</w:t>
      </w:r>
    </w:p>
    <w:p w14:paraId="4EF004AE">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1</w:t>
      </w:r>
      <w:r>
        <w:rPr>
          <w:rFonts w:hint="eastAsia" w:cs="仿宋_GB2312" w:asciiTheme="minorEastAsia" w:hAnsiTheme="minorEastAsia" w:eastAsiaTheme="minorEastAsia"/>
          <w:b/>
          <w:sz w:val="24"/>
        </w:rPr>
        <w:t>.</w:t>
      </w:r>
      <w:r>
        <w:rPr>
          <w:rFonts w:hint="eastAsia" w:cs="仿宋_GB2312" w:asciiTheme="minorEastAsia" w:hAnsiTheme="minorEastAsia" w:eastAsiaTheme="minorEastAsia"/>
          <w:sz w:val="24"/>
        </w:rPr>
        <w:t>7 “检验”指需方按照政府采购合同约定的标准对供方所提供服务进行的检测和查验。</w:t>
      </w:r>
    </w:p>
    <w:p w14:paraId="45277135">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1</w:t>
      </w:r>
      <w:r>
        <w:rPr>
          <w:rFonts w:hint="eastAsia" w:cs="仿宋_GB2312" w:asciiTheme="minorEastAsia" w:hAnsiTheme="minorEastAsia" w:eastAsiaTheme="minorEastAsia"/>
          <w:b/>
          <w:sz w:val="24"/>
        </w:rPr>
        <w:t>.</w:t>
      </w:r>
      <w:r>
        <w:rPr>
          <w:rFonts w:hint="eastAsia" w:cs="仿宋_GB2312" w:asciiTheme="minorEastAsia" w:hAnsiTheme="minorEastAsia" w:eastAsiaTheme="minorEastAsia"/>
          <w:sz w:val="24"/>
        </w:rPr>
        <w:t>8 “验收书”指采购单位或采购代理机构根据合同履约验收意见书形成反映采购单位和组织验收机构意见的文件。</w:t>
      </w:r>
    </w:p>
    <w:p w14:paraId="3701B65A">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1.9“天”指日历天数（如无特别说明）。</w:t>
      </w:r>
    </w:p>
    <w:p w14:paraId="6F5EA855">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1</w:t>
      </w:r>
      <w:r>
        <w:rPr>
          <w:rFonts w:hint="eastAsia" w:cs="仿宋_GB2312" w:asciiTheme="minorEastAsia" w:hAnsiTheme="minorEastAsia" w:eastAsiaTheme="minorEastAsia"/>
          <w:b/>
          <w:sz w:val="24"/>
        </w:rPr>
        <w:t>.</w:t>
      </w:r>
      <w:r>
        <w:rPr>
          <w:rFonts w:hint="eastAsia" w:cs="仿宋_GB2312" w:asciiTheme="minorEastAsia" w:hAnsiTheme="minorEastAsia" w:eastAsiaTheme="minorEastAsia"/>
          <w:sz w:val="24"/>
        </w:rPr>
        <w:t>10“第三人”是指本政府采购合同双方以外的任何中国境内外的自然人、法人或其它经济组织。</w:t>
      </w:r>
    </w:p>
    <w:p w14:paraId="67A5C820">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1</w:t>
      </w:r>
      <w:r>
        <w:rPr>
          <w:rFonts w:hint="eastAsia" w:cs="仿宋_GB2312" w:asciiTheme="minorEastAsia" w:hAnsiTheme="minorEastAsia" w:eastAsiaTheme="minorEastAsia"/>
          <w:b/>
          <w:sz w:val="24"/>
        </w:rPr>
        <w:t>.</w:t>
      </w:r>
      <w:r>
        <w:rPr>
          <w:rFonts w:hint="eastAsia" w:cs="仿宋_GB2312" w:asciiTheme="minorEastAsia" w:hAnsiTheme="minorEastAsia" w:eastAsiaTheme="minorEastAsia"/>
          <w:sz w:val="24"/>
        </w:rPr>
        <w:t>11“法律、法规”是指由中国各级政府及有关部门制定的法律、行政法规、地方性法规、规章及其它规范性文件的有关规定。</w:t>
      </w:r>
    </w:p>
    <w:p w14:paraId="50D8B5D4">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1</w:t>
      </w:r>
      <w:r>
        <w:rPr>
          <w:rFonts w:hint="eastAsia" w:cs="仿宋_GB2312" w:asciiTheme="minorEastAsia" w:hAnsiTheme="minorEastAsia" w:eastAsiaTheme="minorEastAsia"/>
          <w:b/>
          <w:sz w:val="24"/>
        </w:rPr>
        <w:t>.</w:t>
      </w:r>
      <w:r>
        <w:rPr>
          <w:rFonts w:hint="eastAsia" w:cs="仿宋_GB2312" w:asciiTheme="minorEastAsia" w:hAnsiTheme="minorEastAsia" w:eastAsiaTheme="minorEastAsia"/>
          <w:sz w:val="24"/>
        </w:rPr>
        <w:t>12“招标文件”指采购人或采购代理机构发布的招标文件。</w:t>
      </w:r>
    </w:p>
    <w:p w14:paraId="72BA23AC">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1</w:t>
      </w:r>
      <w:r>
        <w:rPr>
          <w:rFonts w:hint="eastAsia" w:cs="仿宋_GB2312" w:asciiTheme="minorEastAsia" w:hAnsiTheme="minorEastAsia" w:eastAsiaTheme="minorEastAsia"/>
          <w:b/>
          <w:sz w:val="24"/>
        </w:rPr>
        <w:t>.</w:t>
      </w:r>
      <w:r>
        <w:rPr>
          <w:rFonts w:hint="eastAsia" w:cs="仿宋_GB2312" w:asciiTheme="minorEastAsia" w:hAnsiTheme="minorEastAsia" w:eastAsiaTheme="minorEastAsia"/>
          <w:sz w:val="24"/>
        </w:rPr>
        <w:t>13“投标文件”指供方按照采购代理机构招标文件的要求编制和递交，并最终被评标委员会接受的投标文件。</w:t>
      </w:r>
    </w:p>
    <w:p w14:paraId="34B8458B">
      <w:pPr>
        <w:adjustRightInd w:val="0"/>
        <w:snapToGrid w:val="0"/>
        <w:spacing w:line="360" w:lineRule="auto"/>
        <w:ind w:firstLine="479" w:firstLineChars="199"/>
        <w:rPr>
          <w:rFonts w:cs="仿宋_GB2312" w:asciiTheme="minorEastAsia" w:hAnsiTheme="minorEastAsia" w:eastAsiaTheme="minorEastAsia"/>
          <w:b/>
          <w:sz w:val="24"/>
        </w:rPr>
      </w:pPr>
      <w:r>
        <w:rPr>
          <w:rFonts w:hint="eastAsia" w:cs="仿宋_GB2312" w:asciiTheme="minorEastAsia" w:hAnsiTheme="minorEastAsia" w:eastAsiaTheme="minorEastAsia"/>
          <w:b/>
          <w:sz w:val="24"/>
        </w:rPr>
        <w:t>2.技术规范与服务内容</w:t>
      </w:r>
    </w:p>
    <w:p w14:paraId="31EF5629">
      <w:pPr>
        <w:adjustRightInd w:val="0"/>
        <w:snapToGrid w:val="0"/>
        <w:spacing w:line="360" w:lineRule="auto"/>
        <w:ind w:firstLine="477" w:firstLineChars="199"/>
        <w:rPr>
          <w:rFonts w:cs="仿宋_GB2312" w:asciiTheme="minorEastAsia" w:hAnsiTheme="minorEastAsia" w:eastAsiaTheme="minorEastAsia"/>
          <w:sz w:val="24"/>
        </w:rPr>
      </w:pPr>
      <w:r>
        <w:rPr>
          <w:rFonts w:hint="eastAsia" w:cs="仿宋_GB2312" w:asciiTheme="minorEastAsia" w:hAnsiTheme="minorEastAsia" w:eastAsiaTheme="minorEastAsia"/>
          <w:sz w:val="24"/>
        </w:rPr>
        <w:t>2.1投标服务的技术规范应与招标文件规定的技术规范（如果有的话）相一致。若无相应说明，则以国家有关部门最新颁布的相应标识及规范为准。</w:t>
      </w:r>
    </w:p>
    <w:p w14:paraId="0A858EDE">
      <w:pPr>
        <w:adjustRightInd w:val="0"/>
        <w:snapToGrid w:val="0"/>
        <w:spacing w:line="360" w:lineRule="auto"/>
        <w:ind w:firstLine="477" w:firstLineChars="199"/>
        <w:rPr>
          <w:rFonts w:cs="仿宋_GB2312" w:asciiTheme="minorEastAsia" w:hAnsiTheme="minorEastAsia" w:eastAsiaTheme="minorEastAsia"/>
          <w:sz w:val="24"/>
        </w:rPr>
      </w:pPr>
      <w:r>
        <w:rPr>
          <w:rFonts w:hint="eastAsia" w:cs="仿宋_GB2312" w:asciiTheme="minorEastAsia" w:hAnsiTheme="minorEastAsia" w:eastAsiaTheme="minorEastAsia"/>
          <w:sz w:val="24"/>
        </w:rPr>
        <w:t>2.2 投标服务的服务内容应与招标文件规定服务内容及投标文件中的项目要求及投标响应表一致。</w:t>
      </w:r>
    </w:p>
    <w:p w14:paraId="0A9AE9DD">
      <w:pPr>
        <w:adjustRightInd w:val="0"/>
        <w:snapToGrid w:val="0"/>
        <w:spacing w:line="360" w:lineRule="auto"/>
        <w:ind w:firstLine="479" w:firstLineChars="199"/>
        <w:rPr>
          <w:rFonts w:cs="仿宋_GB2312" w:asciiTheme="minorEastAsia" w:hAnsiTheme="minorEastAsia" w:eastAsiaTheme="minorEastAsia"/>
          <w:b/>
          <w:sz w:val="24"/>
        </w:rPr>
      </w:pPr>
      <w:r>
        <w:rPr>
          <w:rFonts w:hint="eastAsia" w:cs="仿宋_GB2312" w:asciiTheme="minorEastAsia" w:hAnsiTheme="minorEastAsia" w:eastAsiaTheme="minorEastAsia"/>
          <w:b/>
          <w:sz w:val="24"/>
        </w:rPr>
        <w:t>3.知识产权</w:t>
      </w:r>
    </w:p>
    <w:p w14:paraId="0D7BF402">
      <w:pPr>
        <w:adjustRightInd w:val="0"/>
        <w:snapToGrid w:val="0"/>
        <w:spacing w:line="360" w:lineRule="auto"/>
        <w:ind w:firstLine="470" w:firstLineChars="196"/>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3.1供方应保证需方在使用本政府采购合同项下的服务或其任何一部分时免受第三方提出侵犯其知识产权、商标权或工业设计权的起诉。如果发生此类问题，供方负责交涉、处理并承担由此引起的全部法律及经济责任。</w:t>
      </w:r>
    </w:p>
    <w:p w14:paraId="245C9A74">
      <w:pPr>
        <w:adjustRightInd w:val="0"/>
        <w:snapToGrid w:val="0"/>
        <w:spacing w:line="360" w:lineRule="auto"/>
        <w:ind w:firstLine="470" w:firstLineChars="196"/>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3.2供方应保证所供服务符合国家的有关规定。</w:t>
      </w:r>
    </w:p>
    <w:p w14:paraId="03D7926B">
      <w:pPr>
        <w:tabs>
          <w:tab w:val="left" w:pos="360"/>
        </w:tabs>
        <w:adjustRightInd w:val="0"/>
        <w:snapToGrid w:val="0"/>
        <w:spacing w:line="360" w:lineRule="auto"/>
        <w:ind w:firstLine="477" w:firstLineChars="199"/>
        <w:rPr>
          <w:rFonts w:cs="仿宋_GB2312" w:asciiTheme="minorEastAsia" w:hAnsiTheme="minorEastAsia" w:eastAsiaTheme="minorEastAsia"/>
          <w:sz w:val="24"/>
        </w:rPr>
      </w:pPr>
      <w:r>
        <w:rPr>
          <w:rFonts w:hint="eastAsia" w:cs="仿宋_GB2312" w:asciiTheme="minorEastAsia" w:hAnsiTheme="minorEastAsia" w:eastAsiaTheme="minorEastAsia"/>
          <w:sz w:val="24"/>
        </w:rPr>
        <w:t>3.3供方保证，供方依据本政府采购合同提供的服务及相关的软件和技术资料，供方均已得到有关知识产权的权利人的合法授权，如发生涉及到专利权、著作权、商标权等争议，供方负责交涉、处理，并承担由此引起的全部法律及经济责任。</w:t>
      </w:r>
    </w:p>
    <w:p w14:paraId="17FB8152">
      <w:pPr>
        <w:adjustRightInd w:val="0"/>
        <w:snapToGrid w:val="0"/>
        <w:spacing w:line="360" w:lineRule="auto"/>
        <w:ind w:firstLine="479" w:firstLineChars="199"/>
        <w:rPr>
          <w:rFonts w:cs="仿宋_GB2312" w:asciiTheme="minorEastAsia" w:hAnsiTheme="minorEastAsia" w:eastAsiaTheme="minorEastAsia"/>
          <w:b/>
          <w:sz w:val="24"/>
        </w:rPr>
      </w:pPr>
      <w:r>
        <w:rPr>
          <w:rFonts w:hint="eastAsia" w:cs="仿宋_GB2312" w:asciiTheme="minorEastAsia" w:hAnsiTheme="minorEastAsia" w:eastAsiaTheme="minorEastAsia"/>
          <w:b/>
          <w:sz w:val="24"/>
        </w:rPr>
        <w:t>4.完成方式</w:t>
      </w:r>
    </w:p>
    <w:p w14:paraId="3878783E">
      <w:pPr>
        <w:adjustRightInd w:val="0"/>
        <w:snapToGrid w:val="0"/>
        <w:spacing w:line="360" w:lineRule="auto"/>
        <w:ind w:firstLine="477" w:firstLineChars="199"/>
        <w:rPr>
          <w:rFonts w:cs="仿宋_GB2312" w:asciiTheme="minorEastAsia" w:hAnsiTheme="minorEastAsia" w:eastAsiaTheme="minorEastAsia"/>
          <w:sz w:val="24"/>
        </w:rPr>
      </w:pPr>
      <w:r>
        <w:rPr>
          <w:rFonts w:hint="eastAsia" w:cs="仿宋_GB2312" w:asciiTheme="minorEastAsia" w:hAnsiTheme="minorEastAsia" w:eastAsiaTheme="minorEastAsia"/>
          <w:sz w:val="24"/>
        </w:rPr>
        <w:t>供方按照合同约定的时间、地点完成服务。</w:t>
      </w:r>
    </w:p>
    <w:p w14:paraId="3F076D0E">
      <w:pPr>
        <w:adjustRightInd w:val="0"/>
        <w:snapToGrid w:val="0"/>
        <w:spacing w:line="360" w:lineRule="auto"/>
        <w:ind w:firstLine="479" w:firstLineChars="199"/>
        <w:rPr>
          <w:rFonts w:cs="仿宋_GB2312" w:asciiTheme="minorEastAsia" w:hAnsiTheme="minorEastAsia" w:eastAsiaTheme="minorEastAsia"/>
          <w:b/>
          <w:sz w:val="24"/>
        </w:rPr>
      </w:pPr>
      <w:r>
        <w:rPr>
          <w:rFonts w:hint="eastAsia" w:cs="仿宋_GB2312" w:asciiTheme="minorEastAsia" w:hAnsiTheme="minorEastAsia" w:eastAsiaTheme="minorEastAsia"/>
          <w:b/>
          <w:sz w:val="24"/>
        </w:rPr>
        <w:t>5.付款</w:t>
      </w:r>
    </w:p>
    <w:p w14:paraId="79CA6F72">
      <w:pPr>
        <w:adjustRightInd w:val="0"/>
        <w:snapToGrid w:val="0"/>
        <w:spacing w:line="360" w:lineRule="auto"/>
        <w:ind w:firstLine="477" w:firstLineChars="199"/>
        <w:rPr>
          <w:rFonts w:cs="仿宋_GB2312" w:asciiTheme="minorEastAsia" w:hAnsiTheme="minorEastAsia" w:eastAsiaTheme="minorEastAsia"/>
          <w:sz w:val="24"/>
        </w:rPr>
      </w:pPr>
      <w:r>
        <w:rPr>
          <w:rFonts w:hint="eastAsia" w:cs="仿宋_GB2312" w:asciiTheme="minorEastAsia" w:hAnsiTheme="minorEastAsia" w:eastAsiaTheme="minorEastAsia"/>
          <w:sz w:val="24"/>
        </w:rPr>
        <w:t>5.1政府采购合同以人民币付款。</w:t>
      </w:r>
    </w:p>
    <w:p w14:paraId="7273B5FA">
      <w:pPr>
        <w:adjustRightInd w:val="0"/>
        <w:snapToGrid w:val="0"/>
        <w:spacing w:line="360" w:lineRule="auto"/>
        <w:ind w:firstLine="477" w:firstLineChars="199"/>
        <w:rPr>
          <w:rFonts w:cs="仿宋_GB2312" w:asciiTheme="minorEastAsia" w:hAnsiTheme="minorEastAsia" w:eastAsiaTheme="minorEastAsia"/>
          <w:sz w:val="24"/>
        </w:rPr>
      </w:pPr>
      <w:r>
        <w:rPr>
          <w:rFonts w:hint="eastAsia" w:cs="仿宋_GB2312" w:asciiTheme="minorEastAsia" w:hAnsiTheme="minorEastAsia" w:eastAsiaTheme="minorEastAsia"/>
          <w:sz w:val="24"/>
        </w:rPr>
        <w:t>5.2在供方按照政府采购合同的规定履行服务后，需方按照合同约定的方式和条件付款。</w:t>
      </w:r>
    </w:p>
    <w:p w14:paraId="13EB559D">
      <w:pPr>
        <w:adjustRightInd w:val="0"/>
        <w:snapToGrid w:val="0"/>
        <w:spacing w:line="360" w:lineRule="auto"/>
        <w:ind w:firstLine="482" w:firstLineChars="200"/>
        <w:rPr>
          <w:rFonts w:cs="仿宋_GB2312" w:asciiTheme="minorEastAsia" w:hAnsiTheme="minorEastAsia" w:eastAsiaTheme="minorEastAsia"/>
          <w:b/>
          <w:sz w:val="24"/>
        </w:rPr>
      </w:pPr>
      <w:r>
        <w:rPr>
          <w:rFonts w:hint="eastAsia" w:cs="仿宋_GB2312" w:asciiTheme="minorEastAsia" w:hAnsiTheme="minorEastAsia" w:eastAsiaTheme="minorEastAsia"/>
          <w:b/>
          <w:sz w:val="24"/>
        </w:rPr>
        <w:t>6.服务质量</w:t>
      </w:r>
    </w:p>
    <w:p w14:paraId="3083770C">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6.1供方应保证政府采购合同项下所供服务是由供方提供的，并完全符合强制性的国家技术质量规范和政府采购合同规定的质量、性能和技术规范等要求。</w:t>
      </w:r>
    </w:p>
    <w:p w14:paraId="2D9D42A4">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6.2供方提供的服务质量应满足行业一般标准，符合合同约定。</w:t>
      </w:r>
    </w:p>
    <w:p w14:paraId="07DD803C">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6.3需方有权对供方的服务质量进行监督，发现服务存在不符合合同标准的情形的，可以要求供方改正服务方式、替换服务人员等补救方式，供方应按需方要求改正，并赔偿需方实际损失。</w:t>
      </w:r>
    </w:p>
    <w:p w14:paraId="0D08D34A">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6.4对于委托开发等最终以产品形式交付需方使用的服务，供方需按照招标文件要求对产品提供售后服务及质量保证，供方投标文件承诺的售后服务及质量保证优于招标文件要求的，以投标文件承诺的售后服务及质量保证为准。</w:t>
      </w:r>
    </w:p>
    <w:p w14:paraId="77C80A5E">
      <w:pPr>
        <w:adjustRightInd w:val="0"/>
        <w:snapToGrid w:val="0"/>
        <w:spacing w:line="360" w:lineRule="auto"/>
        <w:ind w:firstLine="472" w:firstLineChars="196"/>
        <w:rPr>
          <w:rFonts w:cs="仿宋_GB2312" w:asciiTheme="minorEastAsia" w:hAnsiTheme="minorEastAsia" w:eastAsiaTheme="minorEastAsia"/>
          <w:b/>
          <w:sz w:val="24"/>
        </w:rPr>
      </w:pPr>
      <w:r>
        <w:rPr>
          <w:rFonts w:hint="eastAsia" w:cs="仿宋_GB2312" w:asciiTheme="minorEastAsia" w:hAnsiTheme="minorEastAsia" w:eastAsiaTheme="minorEastAsia"/>
          <w:b/>
          <w:sz w:val="24"/>
        </w:rPr>
        <w:t>7.技术服务和保修责任</w:t>
      </w:r>
    </w:p>
    <w:p w14:paraId="2AD10FEC">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7.1本条适用于委托开发等最终以产品形式交付需方使用的服务。</w:t>
      </w:r>
    </w:p>
    <w:p w14:paraId="0A294CD2">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7.2供方对交付的产品的保修期，以招标文件中的规定为准，如果投标文件中的承诺优于招标文件规定，则以投标文件为准。</w:t>
      </w:r>
    </w:p>
    <w:p w14:paraId="7AFCB32B">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7.3投标人应按如下内容提供售后服务承诺书：</w:t>
      </w:r>
    </w:p>
    <w:p w14:paraId="41202986">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7.2.1产品经过试运行期，所有性能指标达到技术规范书的要求时，可按招标文件、投标文件内容进行初验。在试运行期间，由于产品质量等造成某些指标达不到要求，供方须更换或进行修复，试运行期重新计算。</w:t>
      </w:r>
    </w:p>
    <w:p w14:paraId="3468E4EC">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7.2.2初验后，设备再次经过试运行期，所有性能指标达到技术规范书的要求时，可按合同招标文件、投标文件内容进行下一步验收工作，进行终验。全部达到要求时，有关方按财政部和省财政厅关于履约验收规定签署最终验收文件。</w:t>
      </w:r>
    </w:p>
    <w:p w14:paraId="0B2AEF08">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7.2.3保修期间供方要保修除消耗品以外的所有产品。如果系统、设备等发生故障，供方要调查故障原因并修复直至满足最终验收指标和性能的要求，或者修理、更换整个或部分有缺陷的材料。</w:t>
      </w:r>
    </w:p>
    <w:p w14:paraId="0A0C8A9D">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7.2.4保修期内，供方提供电话、电子邮件、Web、现场服务等方式的技术支持，对用户的现场服务要求，供方必须按投标文件做出的承诺进行响应。</w:t>
      </w:r>
    </w:p>
    <w:p w14:paraId="1E71FF4D">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7.2.5保修期内，供方应对出现故障无法修复的产品或无法正常运行的系统，提供替代产品以保证系统的正常工作。</w:t>
      </w:r>
    </w:p>
    <w:p w14:paraId="14FD2DFB">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7.2.6保修期内，供方应投标时的承诺提供相关服务。</w:t>
      </w:r>
    </w:p>
    <w:p w14:paraId="4AD380A3">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7.2.7供方必须为维修和技术支持所未能解决的问题和故障提供正式的免费升级方案和升级服务。在质保期内，供方有责任解决所提供的投标货物和软件系统的任何问题；在质保期满后，当需要时，供方仍须对因投标货物本身的固有缺陷和瑕疵承担责任。</w:t>
      </w:r>
    </w:p>
    <w:p w14:paraId="0A847B7E">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7.2.8在保修期结束后，产品寿命期内供方必须继续提供对产品备件、故障处理、软件升级等的服务，不得以任何借口拖延或中断对产品的售后服务，响应时间、取费标准按招标文件、投标文件规定或本合同约定的保修期内的相关标准执行。</w:t>
      </w:r>
    </w:p>
    <w:p w14:paraId="1AD7546C">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7.2.9如果供方提供货物出现质量问题，经需方通知，供方未按时回应、借故推脱、无理由拒绝需方提出的维修、更换服务请求，或者未按照约定期限履行维修、更换义务，需方有权另行委托第三方进行维修，由此产生的维修和备件费用，由供方承担。 需方有权对维修或更换服务以实际发生的费用或按市场价从质尚未支付的政府采购合同价款中扣除。如果这些金额不足以补偿，需方有权向供方提出不足部分的赔偿要求。货物经维修或更换后仍无法达到约定质量要求和技术标准，需方有权退货并向供方索赔。</w:t>
      </w:r>
    </w:p>
    <w:p w14:paraId="5D6A8200">
      <w:pPr>
        <w:adjustRightInd w:val="0"/>
        <w:snapToGrid w:val="0"/>
        <w:spacing w:line="360" w:lineRule="auto"/>
        <w:ind w:firstLine="477" w:firstLineChars="199"/>
        <w:rPr>
          <w:rFonts w:cs="仿宋_GB2312" w:asciiTheme="minorEastAsia" w:hAnsiTheme="minorEastAsia" w:eastAsiaTheme="minorEastAsia"/>
          <w:sz w:val="24"/>
        </w:rPr>
      </w:pPr>
      <w:r>
        <w:rPr>
          <w:rFonts w:hint="eastAsia" w:cs="仿宋_GB2312" w:asciiTheme="minorEastAsia" w:hAnsiTheme="minorEastAsia" w:eastAsiaTheme="minorEastAsia"/>
          <w:sz w:val="24"/>
        </w:rPr>
        <w:t>7.2.10如果供方所提供货物发生质量责任事故，从而导致需方或者第三方发生损失或者需方被第三方索赔或者需方遭受处罚，经质量技术监督部门或其他机构认定事故为货物存在质量问题导致，则应由供方承担由此造成的一切责任，包括但不限于：赔偿需方或第三方直接或者间接的损失，赔偿需方因事故支付给第三方的赔偿金额，赔偿需方因处理事故所花费的合理费用，赔付需方因事故责任产生的罚款或其他费用。本条款在质保期及合同期届满后持续有效。</w:t>
      </w:r>
    </w:p>
    <w:p w14:paraId="1D8984BD">
      <w:pPr>
        <w:adjustRightInd w:val="0"/>
        <w:snapToGrid w:val="0"/>
        <w:spacing w:line="360" w:lineRule="auto"/>
        <w:ind w:firstLine="479" w:firstLineChars="199"/>
        <w:rPr>
          <w:rFonts w:cs="仿宋_GB2312" w:asciiTheme="minorEastAsia" w:hAnsiTheme="minorEastAsia" w:eastAsiaTheme="minorEastAsia"/>
          <w:b/>
          <w:sz w:val="24"/>
        </w:rPr>
      </w:pPr>
      <w:r>
        <w:rPr>
          <w:rFonts w:hint="eastAsia" w:cs="仿宋_GB2312" w:asciiTheme="minorEastAsia" w:hAnsiTheme="minorEastAsia" w:eastAsiaTheme="minorEastAsia"/>
          <w:b/>
          <w:sz w:val="24"/>
        </w:rPr>
        <w:t>8.检验和验收</w:t>
      </w:r>
    </w:p>
    <w:p w14:paraId="5CEEE1F1">
      <w:pPr>
        <w:adjustRightInd w:val="0"/>
        <w:snapToGrid w:val="0"/>
        <w:spacing w:line="360" w:lineRule="auto"/>
        <w:ind w:firstLine="477" w:firstLineChars="199"/>
        <w:rPr>
          <w:rFonts w:cs="仿宋_GB2312" w:asciiTheme="minorEastAsia" w:hAnsiTheme="minorEastAsia" w:eastAsiaTheme="minorEastAsia"/>
          <w:sz w:val="24"/>
        </w:rPr>
      </w:pPr>
      <w:r>
        <w:rPr>
          <w:rFonts w:hint="eastAsia" w:cs="仿宋_GB2312" w:asciiTheme="minorEastAsia" w:hAnsiTheme="minorEastAsia" w:eastAsiaTheme="minorEastAsia"/>
          <w:sz w:val="24"/>
        </w:rPr>
        <w:t>8.1完成服务后，需方或采购代理机构（由具体项目决定）应在政府采购合同规定的时间内组织验收，并在“验收书”上签字。“验收书”将作为申请付款文件的一部分。</w:t>
      </w:r>
    </w:p>
    <w:p w14:paraId="6B5AB4A4">
      <w:pPr>
        <w:adjustRightInd w:val="0"/>
        <w:snapToGrid w:val="0"/>
        <w:spacing w:line="360" w:lineRule="auto"/>
        <w:ind w:firstLine="477" w:firstLineChars="199"/>
        <w:rPr>
          <w:rFonts w:cs="仿宋_GB2312" w:asciiTheme="minorEastAsia" w:hAnsiTheme="minorEastAsia" w:eastAsiaTheme="minorEastAsia"/>
          <w:sz w:val="24"/>
        </w:rPr>
      </w:pPr>
      <w:r>
        <w:rPr>
          <w:rFonts w:hint="eastAsia" w:cs="仿宋_GB2312" w:asciiTheme="minorEastAsia" w:hAnsiTheme="minorEastAsia" w:eastAsiaTheme="minorEastAsia"/>
          <w:sz w:val="24"/>
        </w:rPr>
        <w:t>8.2对于委托开发等最终以产品形式交付需方使用的服务，保修期自验收书签署之日起计算。</w:t>
      </w:r>
    </w:p>
    <w:p w14:paraId="0935E3B2">
      <w:pPr>
        <w:tabs>
          <w:tab w:val="left" w:pos="360"/>
        </w:tabs>
        <w:adjustRightInd w:val="0"/>
        <w:snapToGrid w:val="0"/>
        <w:spacing w:line="360" w:lineRule="auto"/>
        <w:ind w:firstLine="525" w:firstLineChars="218"/>
        <w:rPr>
          <w:rFonts w:cs="仿宋_GB2312" w:asciiTheme="minorEastAsia" w:hAnsiTheme="minorEastAsia" w:eastAsiaTheme="minorEastAsia"/>
          <w:b/>
          <w:sz w:val="24"/>
        </w:rPr>
      </w:pPr>
      <w:r>
        <w:rPr>
          <w:rFonts w:hint="eastAsia" w:cs="仿宋_GB2312" w:asciiTheme="minorEastAsia" w:hAnsiTheme="minorEastAsia" w:eastAsiaTheme="minorEastAsia"/>
          <w:b/>
          <w:sz w:val="24"/>
        </w:rPr>
        <w:t>9.违约责任</w:t>
      </w:r>
    </w:p>
    <w:p w14:paraId="62DCD6AF">
      <w:pPr>
        <w:adjustRightInd w:val="0"/>
        <w:snapToGrid w:val="0"/>
        <w:spacing w:line="360" w:lineRule="auto"/>
        <w:ind w:firstLine="523" w:firstLineChars="218"/>
        <w:rPr>
          <w:rFonts w:cs="仿宋_GB2312" w:asciiTheme="minorEastAsia" w:hAnsiTheme="minorEastAsia" w:eastAsiaTheme="minorEastAsia"/>
          <w:sz w:val="24"/>
        </w:rPr>
      </w:pPr>
      <w:r>
        <w:rPr>
          <w:rFonts w:hint="eastAsia" w:cs="仿宋_GB2312" w:asciiTheme="minorEastAsia" w:hAnsiTheme="minorEastAsia" w:eastAsiaTheme="minorEastAsia"/>
          <w:sz w:val="24"/>
        </w:rPr>
        <w:t>9.1如果供方未按照政府采购合同规定的要求提供服务；或供方未能履行政府采购合同规定的任何其它义务时，需方有权向供方发出违约通知书，供方应按照需方选择的下列一种或多种方式承担赔偿责任：</w:t>
      </w:r>
    </w:p>
    <w:p w14:paraId="22E97B25">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9.1.1在需方同意延长的期限内提供服务并承担由此给需方造成的一切损失；</w:t>
      </w:r>
    </w:p>
    <w:p w14:paraId="23D21FBD">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9.1.2在需方规定的时间内，用符合政府采购合同规定的服务以达到政府采购合同规定的要求，供方应承担由此发生的一切费用和风险。此时，相关服务的期限也应相应延长；</w:t>
      </w:r>
    </w:p>
    <w:p w14:paraId="4F236E08">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9.1.3需方有权部分或全部解除政府采购合同并要求供方赔偿由此造成的损失。此时需方可采取必要的补救措施，相关费用由供方承担。</w:t>
      </w:r>
    </w:p>
    <w:p w14:paraId="4AD9852F">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9.2如果供方在收到需方的违约通知书后10日内未作答复也没有按照需方选择的方式承担违约责任，则需方有权从履约保证金（如有）、尚未支付的政府采购合同价款中扣回索赔金额。如果这些金额不足以补偿，需方有权向供方提出不足部分的赔偿要求。</w:t>
      </w:r>
    </w:p>
    <w:p w14:paraId="1C7A72F1">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9.3延期服务的违约责任</w:t>
      </w:r>
    </w:p>
    <w:p w14:paraId="1B5B9342">
      <w:pPr>
        <w:adjustRightInd w:val="0"/>
        <w:snapToGrid w:val="0"/>
        <w:spacing w:line="360" w:lineRule="auto"/>
        <w:ind w:firstLine="480" w:firstLineChars="200"/>
        <w:rPr>
          <w:rFonts w:cs="仿宋_GB2312" w:asciiTheme="minorEastAsia" w:hAnsiTheme="minorEastAsia" w:eastAsiaTheme="minorEastAsia"/>
          <w:sz w:val="24"/>
        </w:rPr>
      </w:pPr>
      <w:r>
        <w:rPr>
          <w:rFonts w:hint="eastAsia" w:cs="仿宋_GB2312" w:asciiTheme="minorEastAsia" w:hAnsiTheme="minorEastAsia" w:eastAsiaTheme="minorEastAsia"/>
          <w:sz w:val="24"/>
        </w:rPr>
        <w:t>9.3.1除本合同条款第9条规定外，如果供方没有按照政府采购合同规定的时间提供服务，需方可要求供方支付违约金。违约金按照每周未提供服务费用的0.5%计收，但违约金的最高限额为未提供服务的合同价格的5%。一周按7天计算，不足7天按一周计算。如果达到最高限额，需方有权解除政府采购合同。</w:t>
      </w:r>
    </w:p>
    <w:p w14:paraId="7BC0A493">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9.4以上各项交付的违约金并不影响违约方履行政府采购合同的各项义务。</w:t>
      </w:r>
    </w:p>
    <w:p w14:paraId="372D1667">
      <w:pPr>
        <w:adjustRightInd w:val="0"/>
        <w:snapToGrid w:val="0"/>
        <w:spacing w:line="360" w:lineRule="auto"/>
        <w:ind w:left="420"/>
        <w:rPr>
          <w:rFonts w:cs="仿宋_GB2312" w:asciiTheme="minorEastAsia" w:hAnsiTheme="minorEastAsia" w:eastAsiaTheme="minorEastAsia"/>
          <w:b/>
          <w:sz w:val="24"/>
        </w:rPr>
      </w:pPr>
      <w:r>
        <w:rPr>
          <w:rFonts w:hint="eastAsia" w:cs="仿宋_GB2312" w:asciiTheme="minorEastAsia" w:hAnsiTheme="minorEastAsia" w:eastAsiaTheme="minorEastAsia"/>
          <w:b/>
          <w:sz w:val="24"/>
        </w:rPr>
        <w:t>10.不可抗力</w:t>
      </w:r>
    </w:p>
    <w:p w14:paraId="7FF0FB0A">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10.1如果供方和需方因不可抗力而导致政府采购合同迟延履行或不能履行政府采购合同义务，不应该承担误期赔偿或不能履行政府采购合同义务的责任。因供方或需方先延误或不能履行政府采购合同而后遇不可抗力的情形除外。</w:t>
      </w:r>
    </w:p>
    <w:p w14:paraId="47FDA453">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10.2本条所述的“不可抗力”系指那些双方无法控制，不可预见的事件，但不包括双方的违约或疏忽。这些事件包括但不限于：战争、严重火灾、洪水、台风、地震。</w:t>
      </w:r>
    </w:p>
    <w:p w14:paraId="63F3315E">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10.3在不可抗力事件发生后，当事方应尽快以书面形式将不可抗力的情况和原因通知对方。双方应尽实际可能继续履行政府采购合同义务，并积极寻求采取合理的方案履行不受不可抗力影响的其它事项。双方应通过友好协商在合理的时间内达成进一步履行合同的协议。</w:t>
      </w:r>
    </w:p>
    <w:p w14:paraId="32139D1D">
      <w:pPr>
        <w:adjustRightInd w:val="0"/>
        <w:snapToGrid w:val="0"/>
        <w:spacing w:line="360" w:lineRule="auto"/>
        <w:ind w:firstLine="472" w:firstLineChars="196"/>
        <w:rPr>
          <w:rFonts w:cs="仿宋_GB2312" w:asciiTheme="minorEastAsia" w:hAnsiTheme="minorEastAsia" w:eastAsiaTheme="minorEastAsia"/>
          <w:b/>
          <w:sz w:val="24"/>
        </w:rPr>
      </w:pPr>
      <w:r>
        <w:rPr>
          <w:rFonts w:hint="eastAsia" w:cs="仿宋_GB2312" w:asciiTheme="minorEastAsia" w:hAnsiTheme="minorEastAsia" w:eastAsiaTheme="minorEastAsia"/>
          <w:b/>
          <w:sz w:val="24"/>
        </w:rPr>
        <w:t>11.争端的解决</w:t>
      </w:r>
    </w:p>
    <w:p w14:paraId="3377E768">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11.1需方和供方应通过友好协商，解决在执行本政府采购合同过程中所发生的或与本政府采购合同有关的一切争端。</w:t>
      </w:r>
    </w:p>
    <w:p w14:paraId="3F5CA236">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11.2如果协商不成，双方中的任何一方可向需方所在地的人民法院提起诉讼。</w:t>
      </w:r>
    </w:p>
    <w:p w14:paraId="00AC05A6">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11.3因政府采购合同部分履行引发诉讼的，在诉讼期间，除正在进行诉讼的部分外，本政府采购合同的其它部分应继续执行。</w:t>
      </w:r>
    </w:p>
    <w:p w14:paraId="429CFBDA">
      <w:pPr>
        <w:adjustRightInd w:val="0"/>
        <w:snapToGrid w:val="0"/>
        <w:spacing w:line="360" w:lineRule="auto"/>
        <w:ind w:firstLine="472" w:firstLineChars="196"/>
        <w:rPr>
          <w:rFonts w:cs="仿宋_GB2312" w:asciiTheme="minorEastAsia" w:hAnsiTheme="minorEastAsia" w:eastAsiaTheme="minorEastAsia"/>
          <w:b/>
          <w:sz w:val="24"/>
        </w:rPr>
      </w:pPr>
      <w:r>
        <w:rPr>
          <w:rFonts w:hint="eastAsia" w:cs="仿宋_GB2312" w:asciiTheme="minorEastAsia" w:hAnsiTheme="minorEastAsia" w:eastAsiaTheme="minorEastAsia"/>
          <w:b/>
          <w:sz w:val="24"/>
        </w:rPr>
        <w:t>12.违约终止政府采购合同</w:t>
      </w:r>
    </w:p>
    <w:p w14:paraId="1867DB3C">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12.1在需方因供方违约而按政府采购合同约定采取的任何补救措施不起作用的情况下，需方可在下列情况下向供方发出书面通知，提出终止部分或全部政府采购合同。</w:t>
      </w:r>
    </w:p>
    <w:p w14:paraId="628D307C">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12.1.1如果供方未能在政府采购合同规定的限期或需方同意延长的限期内提供部分或全部服务；</w:t>
      </w:r>
    </w:p>
    <w:p w14:paraId="1814A069">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12.1.2如果供方未能履行政府采购合同规定的其它任何义务。</w:t>
      </w:r>
    </w:p>
    <w:p w14:paraId="71717535">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12.1.3未经需方事先书面同意，供方部分转让和分包或全部转让和分包其应履行的政府采购合同义务。</w:t>
      </w:r>
    </w:p>
    <w:p w14:paraId="09EB56A4">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12.2 如果需方根据上述规定，终止了全部或部分政府采购合同，需方可以依其认为适当的条件和方法购买与未履行服务类似的服务，供方应对购买类似服务所超出的那部分费用负责。供方应继续履行政府采购合同中未终止的部分。</w:t>
      </w:r>
    </w:p>
    <w:p w14:paraId="68C967FA">
      <w:pPr>
        <w:adjustRightInd w:val="0"/>
        <w:snapToGrid w:val="0"/>
        <w:spacing w:line="360" w:lineRule="auto"/>
        <w:ind w:firstLine="472" w:firstLineChars="196"/>
        <w:rPr>
          <w:rFonts w:cs="仿宋_GB2312" w:asciiTheme="minorEastAsia" w:hAnsiTheme="minorEastAsia" w:eastAsiaTheme="minorEastAsia"/>
          <w:b/>
          <w:sz w:val="24"/>
        </w:rPr>
      </w:pPr>
      <w:r>
        <w:rPr>
          <w:rFonts w:hint="eastAsia" w:cs="仿宋_GB2312" w:asciiTheme="minorEastAsia" w:hAnsiTheme="minorEastAsia" w:eastAsiaTheme="minorEastAsia"/>
          <w:b/>
          <w:sz w:val="24"/>
        </w:rPr>
        <w:t>13.政府采购法对政府采购合同变更终止的规定</w:t>
      </w:r>
    </w:p>
    <w:p w14:paraId="60B790CD">
      <w:pPr>
        <w:adjustRightInd w:val="0"/>
        <w:snapToGrid w:val="0"/>
        <w:spacing w:line="360" w:lineRule="auto"/>
        <w:ind w:firstLine="470" w:firstLineChars="196"/>
        <w:rPr>
          <w:rFonts w:cs="仿宋_GB2312" w:asciiTheme="minorEastAsia" w:hAnsiTheme="minorEastAsia" w:eastAsiaTheme="minorEastAsia"/>
          <w:b/>
          <w:sz w:val="24"/>
        </w:rPr>
      </w:pPr>
      <w:r>
        <w:rPr>
          <w:rFonts w:hint="eastAsia" w:cs="仿宋_GB2312" w:asciiTheme="minorEastAsia" w:hAnsiTheme="minorEastAsia" w:eastAsiaTheme="minorEastAsia"/>
          <w:sz w:val="24"/>
        </w:rPr>
        <w:t>政府采购合同的双方当事人(指供需双方)不得擅自变更、中止或者终止政府采购合同。政府采购合同继续履行将损害国家利益和社会公共利益的，双方当事人应当变更、中止或者终止政府采购合同。有过错的一方应当承担赔偿责任，双方都有过错的，各自承担相应的责任。</w:t>
      </w:r>
    </w:p>
    <w:p w14:paraId="1D1DFF4B">
      <w:pPr>
        <w:adjustRightInd w:val="0"/>
        <w:snapToGrid w:val="0"/>
        <w:spacing w:line="360" w:lineRule="auto"/>
        <w:ind w:firstLine="472" w:firstLineChars="196"/>
        <w:rPr>
          <w:rFonts w:cs="仿宋_GB2312" w:asciiTheme="minorEastAsia" w:hAnsiTheme="minorEastAsia" w:eastAsiaTheme="minorEastAsia"/>
          <w:b/>
          <w:sz w:val="24"/>
        </w:rPr>
      </w:pPr>
      <w:r>
        <w:rPr>
          <w:rFonts w:hint="eastAsia" w:cs="仿宋_GB2312" w:asciiTheme="minorEastAsia" w:hAnsiTheme="minorEastAsia" w:eastAsiaTheme="minorEastAsia"/>
          <w:b/>
          <w:sz w:val="24"/>
        </w:rPr>
        <w:t>14.政府采购合同转让和分包</w:t>
      </w:r>
    </w:p>
    <w:p w14:paraId="5303E19A">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除招标文件规定,并经需方事先书面同意外，供方不得部分转让和分包或全部转让和分包其应履行的政府采购合同义务。</w:t>
      </w:r>
    </w:p>
    <w:p w14:paraId="7D6543AE">
      <w:pPr>
        <w:adjustRightInd w:val="0"/>
        <w:snapToGrid w:val="0"/>
        <w:spacing w:line="360" w:lineRule="auto"/>
        <w:ind w:firstLine="472" w:firstLineChars="196"/>
        <w:rPr>
          <w:rFonts w:cs="仿宋_GB2312" w:asciiTheme="minorEastAsia" w:hAnsiTheme="minorEastAsia" w:eastAsiaTheme="minorEastAsia"/>
          <w:sz w:val="24"/>
        </w:rPr>
      </w:pPr>
      <w:r>
        <w:rPr>
          <w:rFonts w:hint="eastAsia" w:cs="仿宋_GB2312" w:asciiTheme="minorEastAsia" w:hAnsiTheme="minorEastAsia" w:eastAsiaTheme="minorEastAsia"/>
          <w:b/>
          <w:sz w:val="24"/>
        </w:rPr>
        <w:t>15.适用法律：</w:t>
      </w:r>
      <w:r>
        <w:rPr>
          <w:rFonts w:hint="eastAsia" w:cs="仿宋_GB2312" w:asciiTheme="minorEastAsia" w:hAnsiTheme="minorEastAsia" w:eastAsiaTheme="minorEastAsia"/>
          <w:sz w:val="24"/>
        </w:rPr>
        <w:t>本政府采购合同按照中华人民共和国的现行法律进行解释。</w:t>
      </w:r>
    </w:p>
    <w:p w14:paraId="61F73027">
      <w:pPr>
        <w:adjustRightInd w:val="0"/>
        <w:snapToGrid w:val="0"/>
        <w:spacing w:line="360" w:lineRule="auto"/>
        <w:ind w:firstLine="472" w:firstLineChars="196"/>
        <w:rPr>
          <w:rFonts w:cs="仿宋_GB2312" w:asciiTheme="minorEastAsia" w:hAnsiTheme="minorEastAsia" w:eastAsiaTheme="minorEastAsia"/>
          <w:b/>
          <w:sz w:val="24"/>
        </w:rPr>
      </w:pPr>
      <w:r>
        <w:rPr>
          <w:rFonts w:hint="eastAsia" w:cs="仿宋_GB2312" w:asciiTheme="minorEastAsia" w:hAnsiTheme="minorEastAsia" w:eastAsiaTheme="minorEastAsia"/>
          <w:b/>
          <w:sz w:val="24"/>
        </w:rPr>
        <w:t>16.政府采购合同生效</w:t>
      </w:r>
    </w:p>
    <w:p w14:paraId="095B5FB9">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16.1本政府采购合同在工序双方法定代表人或其授权代理人签字和加盖公章后生效。</w:t>
      </w:r>
    </w:p>
    <w:p w14:paraId="2D641852">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 xml:space="preserve">16.2本政府采购合同一式四份，需方执二份，供方、采购代理机构各执一份。 </w:t>
      </w:r>
    </w:p>
    <w:p w14:paraId="4A179AA5">
      <w:pPr>
        <w:adjustRightInd w:val="0"/>
        <w:snapToGrid w:val="0"/>
        <w:spacing w:line="360" w:lineRule="auto"/>
        <w:ind w:firstLine="472" w:firstLineChars="196"/>
        <w:rPr>
          <w:rFonts w:cs="仿宋_GB2312" w:asciiTheme="minorEastAsia" w:hAnsiTheme="minorEastAsia" w:eastAsiaTheme="minorEastAsia"/>
          <w:b/>
          <w:sz w:val="24"/>
        </w:rPr>
      </w:pPr>
      <w:r>
        <w:rPr>
          <w:rFonts w:hint="eastAsia" w:cs="仿宋_GB2312" w:asciiTheme="minorEastAsia" w:hAnsiTheme="minorEastAsia" w:eastAsiaTheme="minorEastAsia"/>
          <w:b/>
          <w:sz w:val="24"/>
        </w:rPr>
        <w:t>17.政府采购合同附件</w:t>
      </w:r>
    </w:p>
    <w:p w14:paraId="0A7D9EE1">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下列文件构成本政府采购合同不可分割的组成部分，与本政府采购合同具有同等法律效力：</w:t>
      </w:r>
    </w:p>
    <w:p w14:paraId="361107EC">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17.1招标文件；</w:t>
      </w:r>
    </w:p>
    <w:p w14:paraId="0F875BF9">
      <w:pPr>
        <w:adjustRightInd w:val="0"/>
        <w:snapToGrid w:val="0"/>
        <w:spacing w:line="360" w:lineRule="auto"/>
        <w:ind w:firstLine="480" w:firstLineChars="200"/>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17.2招标文件的更正公告、变更公告；</w:t>
      </w:r>
    </w:p>
    <w:p w14:paraId="5E58F366">
      <w:pPr>
        <w:adjustRightInd w:val="0"/>
        <w:snapToGrid w:val="0"/>
        <w:spacing w:line="360" w:lineRule="auto"/>
        <w:ind w:firstLine="480" w:firstLineChars="200"/>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 xml:space="preserve">17.3中标供应商提交的投标文件；        </w:t>
      </w:r>
    </w:p>
    <w:p w14:paraId="0C365A00">
      <w:pPr>
        <w:adjustRightInd w:val="0"/>
        <w:snapToGrid w:val="0"/>
        <w:spacing w:line="360" w:lineRule="auto"/>
        <w:ind w:firstLine="480" w:firstLineChars="200"/>
        <w:jc w:val="left"/>
        <w:rPr>
          <w:rFonts w:cs="仿宋_GB2312" w:asciiTheme="minorEastAsia" w:hAnsiTheme="minorEastAsia" w:eastAsiaTheme="minorEastAsia"/>
          <w:sz w:val="24"/>
        </w:rPr>
      </w:pPr>
      <w:r>
        <w:rPr>
          <w:rFonts w:hint="eastAsia" w:cs="仿宋_GB2312" w:asciiTheme="minorEastAsia" w:hAnsiTheme="minorEastAsia" w:eastAsiaTheme="minorEastAsia"/>
          <w:sz w:val="24"/>
        </w:rPr>
        <w:t>17.4政府采购合同条款；</w:t>
      </w:r>
    </w:p>
    <w:p w14:paraId="1D995773">
      <w:pPr>
        <w:adjustRightInd w:val="0"/>
        <w:snapToGrid w:val="0"/>
        <w:spacing w:line="360" w:lineRule="auto"/>
        <w:ind w:firstLine="470" w:firstLineChars="196"/>
        <w:rPr>
          <w:rFonts w:cs="仿宋_GB2312" w:asciiTheme="minorEastAsia" w:hAnsiTheme="minorEastAsia" w:eastAsiaTheme="minorEastAsia"/>
          <w:sz w:val="24"/>
        </w:rPr>
      </w:pPr>
      <w:r>
        <w:rPr>
          <w:rFonts w:hint="eastAsia" w:cs="仿宋_GB2312" w:asciiTheme="minorEastAsia" w:hAnsiTheme="minorEastAsia" w:eastAsiaTheme="minorEastAsia"/>
          <w:sz w:val="24"/>
        </w:rPr>
        <w:t>17.5中标通知书；</w:t>
      </w:r>
    </w:p>
    <w:p w14:paraId="3566FFD7">
      <w:pPr>
        <w:adjustRightInd w:val="0"/>
        <w:snapToGrid w:val="0"/>
        <w:spacing w:line="360" w:lineRule="auto"/>
        <w:ind w:firstLine="470" w:firstLineChars="196"/>
      </w:pPr>
      <w:r>
        <w:rPr>
          <w:rFonts w:hint="eastAsia" w:cs="仿宋_GB2312" w:asciiTheme="minorEastAsia" w:hAnsiTheme="minorEastAsia" w:eastAsiaTheme="minorEastAsia"/>
          <w:sz w:val="24"/>
        </w:rPr>
        <w:t>17.6政府采购合同的其它附件。</w:t>
      </w:r>
      <w:bookmarkEnd w:id="3"/>
    </w:p>
    <w:p w14:paraId="4694AAA9"/>
    <w:p w14:paraId="10D38D5D">
      <w:pPr>
        <w:pStyle w:val="3"/>
      </w:pPr>
    </w:p>
    <w:p w14:paraId="2266DB21">
      <w:pPr>
        <w:pStyle w:val="3"/>
      </w:pPr>
    </w:p>
    <w:p w14:paraId="23F16890">
      <w:pPr>
        <w:pStyle w:val="3"/>
      </w:pPr>
    </w:p>
    <w:p w14:paraId="7BE0A694">
      <w:pPr>
        <w:pStyle w:val="2"/>
        <w:rPr>
          <w:rFonts w:hint="eastAsia" w:ascii="仿宋" w:hAnsi="仿宋" w:eastAsia="仿宋" w:cs="仿宋"/>
          <w:szCs w:val="32"/>
        </w:rPr>
      </w:pPr>
      <w:bookmarkStart w:id="4" w:name="_Toc18706"/>
      <w:r>
        <w:rPr>
          <w:rFonts w:hint="eastAsia" w:ascii="仿宋" w:hAnsi="仿宋" w:eastAsia="仿宋" w:cs="仿宋"/>
          <w:szCs w:val="32"/>
        </w:rPr>
        <w:t>开标一览表</w:t>
      </w:r>
      <w:bookmarkEnd w:id="4"/>
    </w:p>
    <w:p w14:paraId="39241925">
      <w:pPr>
        <w:rPr>
          <w:rFonts w:hint="eastAsia" w:ascii="仿宋" w:hAnsi="仿宋" w:cs="仿宋"/>
        </w:rPr>
      </w:pPr>
    </w:p>
    <w:p w14:paraId="02FE2204">
      <w:pPr>
        <w:adjustRightInd w:val="0"/>
        <w:snapToGrid w:val="0"/>
        <w:spacing w:line="360" w:lineRule="auto"/>
        <w:ind w:right="105" w:rightChars="50" w:firstLine="723" w:firstLineChars="300"/>
        <w:jc w:val="left"/>
        <w:rPr>
          <w:rFonts w:hint="eastAsia" w:ascii="仿宋" w:hAnsi="仿宋" w:cs="仿宋"/>
          <w:b/>
          <w:bCs/>
          <w:sz w:val="24"/>
        </w:rPr>
      </w:pPr>
      <w:r>
        <w:rPr>
          <w:rFonts w:hint="eastAsia" w:ascii="仿宋" w:hAnsi="仿宋" w:cs="仿宋"/>
          <w:b/>
          <w:bCs/>
          <w:sz w:val="24"/>
        </w:rPr>
        <w:t>包号：005包                                 报价单位：元</w:t>
      </w:r>
    </w:p>
    <w:tbl>
      <w:tblPr>
        <w:tblStyle w:val="8"/>
        <w:tblW w:w="8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1"/>
        <w:gridCol w:w="2344"/>
        <w:gridCol w:w="2701"/>
        <w:gridCol w:w="1575"/>
        <w:gridCol w:w="586"/>
      </w:tblGrid>
      <w:tr w14:paraId="64492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451" w:type="dxa"/>
            <w:vAlign w:val="center"/>
          </w:tcPr>
          <w:p w14:paraId="69C8F4D7">
            <w:pPr>
              <w:adjustRightInd w:val="0"/>
              <w:snapToGrid w:val="0"/>
              <w:ind w:left="-82" w:leftChars="-39" w:right="-46" w:rightChars="-22"/>
              <w:jc w:val="center"/>
              <w:rPr>
                <w:rFonts w:hint="eastAsia" w:ascii="仿宋" w:hAnsi="仿宋" w:cs="仿宋"/>
                <w:sz w:val="24"/>
              </w:rPr>
            </w:pPr>
            <w:r>
              <w:rPr>
                <w:rFonts w:hint="eastAsia" w:ascii="仿宋" w:hAnsi="仿宋" w:cs="仿宋"/>
                <w:sz w:val="24"/>
              </w:rPr>
              <w:t>服务名称</w:t>
            </w:r>
          </w:p>
        </w:tc>
        <w:tc>
          <w:tcPr>
            <w:tcW w:w="2344" w:type="dxa"/>
            <w:vAlign w:val="center"/>
          </w:tcPr>
          <w:p w14:paraId="413DFB87">
            <w:pPr>
              <w:adjustRightInd w:val="0"/>
              <w:snapToGrid w:val="0"/>
              <w:ind w:left="-82" w:leftChars="-39" w:right="-46" w:rightChars="-22"/>
              <w:jc w:val="center"/>
              <w:rPr>
                <w:rFonts w:hint="eastAsia" w:ascii="仿宋" w:hAnsi="仿宋" w:cs="仿宋"/>
                <w:sz w:val="24"/>
              </w:rPr>
            </w:pPr>
            <w:r>
              <w:rPr>
                <w:rFonts w:hint="eastAsia" w:ascii="仿宋" w:hAnsi="仿宋" w:cs="仿宋"/>
                <w:sz w:val="24"/>
              </w:rPr>
              <w:t>投标总价</w:t>
            </w:r>
          </w:p>
        </w:tc>
        <w:tc>
          <w:tcPr>
            <w:tcW w:w="2701" w:type="dxa"/>
            <w:vAlign w:val="center"/>
          </w:tcPr>
          <w:p w14:paraId="42012AD4">
            <w:pPr>
              <w:adjustRightInd w:val="0"/>
              <w:snapToGrid w:val="0"/>
              <w:ind w:left="-82" w:leftChars="-39" w:right="-46" w:rightChars="-22"/>
              <w:jc w:val="center"/>
              <w:rPr>
                <w:rFonts w:hint="eastAsia" w:ascii="仿宋" w:hAnsi="仿宋" w:cs="仿宋"/>
                <w:sz w:val="24"/>
              </w:rPr>
            </w:pPr>
            <w:r>
              <w:rPr>
                <w:rFonts w:hint="eastAsia" w:ascii="仿宋" w:hAnsi="仿宋" w:cs="仿宋"/>
                <w:sz w:val="24"/>
              </w:rPr>
              <w:t>履约期限</w:t>
            </w:r>
          </w:p>
        </w:tc>
        <w:tc>
          <w:tcPr>
            <w:tcW w:w="1575" w:type="dxa"/>
            <w:vAlign w:val="center"/>
          </w:tcPr>
          <w:p w14:paraId="74621F8F">
            <w:pPr>
              <w:adjustRightInd w:val="0"/>
              <w:snapToGrid w:val="0"/>
              <w:ind w:left="-82" w:leftChars="-39" w:right="-46" w:rightChars="-22"/>
              <w:jc w:val="center"/>
              <w:rPr>
                <w:rFonts w:hint="eastAsia" w:ascii="仿宋" w:hAnsi="仿宋" w:cs="仿宋"/>
                <w:sz w:val="24"/>
              </w:rPr>
            </w:pPr>
            <w:r>
              <w:rPr>
                <w:rFonts w:hint="eastAsia" w:ascii="仿宋" w:hAnsi="仿宋" w:cs="仿宋"/>
                <w:sz w:val="24"/>
              </w:rPr>
              <w:t>履约地点</w:t>
            </w:r>
          </w:p>
        </w:tc>
        <w:tc>
          <w:tcPr>
            <w:tcW w:w="586" w:type="dxa"/>
            <w:vAlign w:val="center"/>
          </w:tcPr>
          <w:p w14:paraId="22B675EA">
            <w:pPr>
              <w:adjustRightInd w:val="0"/>
              <w:snapToGrid w:val="0"/>
              <w:ind w:left="-82" w:leftChars="-39" w:right="-46" w:rightChars="-22"/>
              <w:jc w:val="center"/>
              <w:rPr>
                <w:rFonts w:hint="eastAsia" w:ascii="仿宋" w:hAnsi="仿宋" w:cs="仿宋"/>
                <w:sz w:val="24"/>
              </w:rPr>
            </w:pPr>
            <w:r>
              <w:rPr>
                <w:rFonts w:hint="eastAsia" w:ascii="仿宋" w:hAnsi="仿宋" w:cs="仿宋"/>
                <w:sz w:val="24"/>
              </w:rPr>
              <w:t>备注</w:t>
            </w:r>
          </w:p>
        </w:tc>
      </w:tr>
      <w:tr w14:paraId="39959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1451" w:type="dxa"/>
            <w:vAlign w:val="center"/>
          </w:tcPr>
          <w:p w14:paraId="07735DF9">
            <w:pPr>
              <w:adjustRightInd w:val="0"/>
              <w:snapToGrid w:val="0"/>
              <w:ind w:left="-82" w:leftChars="-39" w:right="-46" w:rightChars="-22"/>
              <w:jc w:val="center"/>
              <w:rPr>
                <w:rFonts w:hint="eastAsia" w:ascii="仿宋" w:hAnsi="仿宋" w:cs="仿宋"/>
                <w:sz w:val="24"/>
              </w:rPr>
            </w:pPr>
            <w:r>
              <w:rPr>
                <w:rFonts w:hint="eastAsia" w:ascii="仿宋" w:hAnsi="仿宋" w:cs="仿宋"/>
                <w:sz w:val="24"/>
              </w:rPr>
              <w:t>2023年绩效评价中介机构服务（二次）</w:t>
            </w:r>
          </w:p>
        </w:tc>
        <w:tc>
          <w:tcPr>
            <w:tcW w:w="2344" w:type="dxa"/>
            <w:vAlign w:val="center"/>
          </w:tcPr>
          <w:p w14:paraId="68A35122">
            <w:pPr>
              <w:adjustRightInd w:val="0"/>
              <w:snapToGrid w:val="0"/>
              <w:ind w:left="-82" w:leftChars="-39" w:right="-46" w:rightChars="-22"/>
              <w:rPr>
                <w:rFonts w:hint="eastAsia" w:ascii="仿宋" w:hAnsi="仿宋" w:cs="仿宋"/>
                <w:kern w:val="0"/>
                <w:sz w:val="24"/>
                <w:lang w:bidi="zh-CN"/>
              </w:rPr>
            </w:pPr>
            <w:r>
              <w:rPr>
                <w:rFonts w:hint="eastAsia" w:ascii="仿宋" w:hAnsi="仿宋" w:cs="仿宋"/>
                <w:kern w:val="0"/>
                <w:sz w:val="24"/>
                <w:lang w:val="zh-CN" w:bidi="zh-CN"/>
              </w:rPr>
              <w:t>小写：</w:t>
            </w:r>
            <w:r>
              <w:rPr>
                <w:rFonts w:hint="eastAsia" w:ascii="仿宋" w:hAnsi="仿宋" w:cs="仿宋"/>
                <w:kern w:val="0"/>
                <w:sz w:val="24"/>
                <w:lang w:bidi="zh-CN"/>
              </w:rPr>
              <w:t>79,900.00</w:t>
            </w:r>
          </w:p>
          <w:p w14:paraId="22B61A5C">
            <w:pPr>
              <w:adjustRightInd w:val="0"/>
              <w:snapToGrid w:val="0"/>
              <w:ind w:left="-82" w:leftChars="-39" w:right="-46" w:rightChars="-22"/>
              <w:rPr>
                <w:rFonts w:hint="eastAsia" w:ascii="仿宋" w:hAnsi="仿宋" w:cs="仿宋"/>
                <w:sz w:val="24"/>
              </w:rPr>
            </w:pPr>
            <w:r>
              <w:rPr>
                <w:rFonts w:hint="eastAsia" w:ascii="仿宋" w:hAnsi="仿宋" w:cs="仿宋"/>
                <w:kern w:val="0"/>
                <w:sz w:val="24"/>
                <w:lang w:val="zh-CN" w:bidi="zh-CN"/>
              </w:rPr>
              <w:t>大写：人民币柒万玖仟玖佰元整</w:t>
            </w:r>
          </w:p>
        </w:tc>
        <w:tc>
          <w:tcPr>
            <w:tcW w:w="2701" w:type="dxa"/>
            <w:vAlign w:val="center"/>
          </w:tcPr>
          <w:p w14:paraId="4ED2959D">
            <w:pPr>
              <w:pStyle w:val="3"/>
              <w:rPr>
                <w:rFonts w:hint="eastAsia" w:ascii="仿宋" w:hAnsi="仿宋" w:cs="仿宋"/>
                <w:sz w:val="24"/>
              </w:rPr>
            </w:pPr>
            <w:r>
              <w:rPr>
                <w:rFonts w:hint="eastAsia" w:ascii="仿宋" w:hAnsi="仿宋" w:cs="仿宋"/>
                <w:sz w:val="24"/>
              </w:rPr>
              <w:t>签订合同之日起四个月。</w:t>
            </w:r>
          </w:p>
          <w:p w14:paraId="09062C40">
            <w:pPr>
              <w:pStyle w:val="3"/>
              <w:rPr>
                <w:rFonts w:hint="eastAsia" w:ascii="仿宋" w:hAnsi="仿宋" w:cs="仿宋"/>
                <w:sz w:val="24"/>
              </w:rPr>
            </w:pPr>
            <w:r>
              <w:rPr>
                <w:rFonts w:hint="eastAsia" w:ascii="仿宋" w:hAnsi="仿宋" w:cs="仿宋"/>
                <w:sz w:val="24"/>
              </w:rPr>
              <w:t>如在财政预算保证并且在采购单位对中标供应商服务认可的前提下，合同可续签一至二年，合同需一年一签，如遇政策调整按规定执行。</w:t>
            </w:r>
          </w:p>
        </w:tc>
        <w:tc>
          <w:tcPr>
            <w:tcW w:w="1575" w:type="dxa"/>
            <w:vAlign w:val="center"/>
          </w:tcPr>
          <w:p w14:paraId="4E402F24">
            <w:pPr>
              <w:adjustRightInd w:val="0"/>
              <w:snapToGrid w:val="0"/>
              <w:ind w:left="-82" w:leftChars="-39" w:right="-46" w:rightChars="-22"/>
              <w:jc w:val="center"/>
              <w:rPr>
                <w:rFonts w:hint="eastAsia" w:ascii="仿宋" w:hAnsi="仿宋" w:cs="仿宋"/>
                <w:sz w:val="24"/>
              </w:rPr>
            </w:pPr>
            <w:r>
              <w:rPr>
                <w:rFonts w:hint="eastAsia" w:ascii="仿宋" w:hAnsi="仿宋" w:cs="仿宋"/>
                <w:sz w:val="24"/>
              </w:rPr>
              <w:t>采购人指定地点（鞍山境内）</w:t>
            </w:r>
          </w:p>
        </w:tc>
        <w:tc>
          <w:tcPr>
            <w:tcW w:w="586" w:type="dxa"/>
            <w:vAlign w:val="center"/>
          </w:tcPr>
          <w:p w14:paraId="5D1688BC">
            <w:pPr>
              <w:adjustRightInd w:val="0"/>
              <w:snapToGrid w:val="0"/>
              <w:ind w:left="-82" w:leftChars="-39" w:right="-46" w:rightChars="-22"/>
              <w:jc w:val="center"/>
              <w:rPr>
                <w:rFonts w:hint="eastAsia" w:ascii="仿宋" w:hAnsi="仿宋" w:cs="仿宋"/>
                <w:sz w:val="24"/>
              </w:rPr>
            </w:pPr>
          </w:p>
        </w:tc>
      </w:tr>
    </w:tbl>
    <w:p w14:paraId="3644D3C4">
      <w:pPr>
        <w:adjustRightInd w:val="0"/>
        <w:snapToGrid w:val="0"/>
        <w:spacing w:line="360" w:lineRule="auto"/>
        <w:ind w:right="105" w:rightChars="50"/>
        <w:jc w:val="left"/>
        <w:rPr>
          <w:rFonts w:hint="eastAsia" w:ascii="仿宋" w:hAnsi="仿宋" w:cs="仿宋"/>
          <w:sz w:val="24"/>
        </w:rPr>
      </w:pPr>
    </w:p>
    <w:p w14:paraId="1D92D55B">
      <w:pPr>
        <w:pStyle w:val="15"/>
        <w:rPr>
          <w:rFonts w:hint="eastAsia" w:ascii="仿宋" w:hAnsi="仿宋" w:cs="仿宋"/>
          <w:sz w:val="24"/>
        </w:rPr>
      </w:pPr>
    </w:p>
    <w:p w14:paraId="28AD75F5">
      <w:pPr>
        <w:adjustRightInd w:val="0"/>
        <w:snapToGrid w:val="0"/>
        <w:spacing w:line="360" w:lineRule="auto"/>
        <w:ind w:right="105" w:rightChars="50" w:firstLine="480" w:firstLineChars="200"/>
        <w:jc w:val="left"/>
        <w:rPr>
          <w:rFonts w:hint="eastAsia" w:ascii="仿宋" w:hAnsi="仿宋" w:cs="仿宋"/>
          <w:sz w:val="24"/>
        </w:rPr>
      </w:pPr>
      <w:r>
        <w:rPr>
          <w:rFonts w:hint="eastAsia" w:ascii="仿宋" w:hAnsi="仿宋" w:cs="仿宋"/>
          <w:sz w:val="24"/>
        </w:rPr>
        <w:t>注：此表中，投标总价应和服务价格明细表的总价相一致。</w:t>
      </w:r>
    </w:p>
    <w:p w14:paraId="45C766E1">
      <w:pPr>
        <w:adjustRightInd w:val="0"/>
        <w:snapToGrid w:val="0"/>
        <w:spacing w:line="360" w:lineRule="auto"/>
        <w:ind w:right="105" w:rightChars="50" w:firstLine="480" w:firstLineChars="200"/>
        <w:jc w:val="left"/>
        <w:rPr>
          <w:rFonts w:hint="eastAsia" w:ascii="仿宋" w:hAnsi="仿宋" w:cs="仿宋"/>
          <w:sz w:val="24"/>
        </w:rPr>
      </w:pPr>
      <w:r>
        <w:rPr>
          <w:rFonts w:hint="eastAsia" w:ascii="仿宋" w:hAnsi="仿宋" w:cs="仿宋"/>
          <w:sz w:val="24"/>
        </w:rPr>
        <w:t xml:space="preserve">   </w:t>
      </w:r>
    </w:p>
    <w:p w14:paraId="24E587EF">
      <w:pPr>
        <w:adjustRightInd w:val="0"/>
        <w:snapToGrid w:val="0"/>
        <w:spacing w:line="480" w:lineRule="auto"/>
        <w:rPr>
          <w:rFonts w:hint="eastAsia" w:ascii="仿宋" w:hAnsi="仿宋" w:cs="仿宋"/>
          <w:sz w:val="24"/>
        </w:rPr>
      </w:pPr>
    </w:p>
    <w:p w14:paraId="29465B07">
      <w:pPr>
        <w:adjustRightInd w:val="0"/>
        <w:snapToGrid w:val="0"/>
        <w:spacing w:line="480" w:lineRule="auto"/>
        <w:rPr>
          <w:rFonts w:hint="eastAsia" w:ascii="仿宋" w:hAnsi="仿宋" w:cs="仿宋"/>
          <w:sz w:val="24"/>
        </w:rPr>
      </w:pPr>
    </w:p>
    <w:p w14:paraId="05BC4C31">
      <w:pPr>
        <w:adjustRightInd w:val="0"/>
        <w:snapToGrid w:val="0"/>
        <w:spacing w:line="480" w:lineRule="auto"/>
        <w:rPr>
          <w:rFonts w:hint="eastAsia" w:ascii="仿宋" w:hAnsi="仿宋" w:cs="仿宋"/>
          <w:sz w:val="24"/>
        </w:rPr>
      </w:pPr>
      <w:r>
        <w:rPr>
          <w:rFonts w:hint="eastAsia" w:ascii="仿宋" w:hAnsi="仿宋" w:cs="仿宋"/>
          <w:sz w:val="24"/>
        </w:rPr>
        <w:t>投标人名称（加盖单位公章）：</w:t>
      </w:r>
      <w:r>
        <w:rPr>
          <w:rFonts w:hint="eastAsia" w:ascii="仿宋" w:hAnsi="仿宋" w:cs="仿宋"/>
          <w:sz w:val="24"/>
          <w:u w:val="single"/>
        </w:rPr>
        <w:t xml:space="preserve">  辽宁润致会计师事务所（普通合伙）          </w:t>
      </w:r>
    </w:p>
    <w:p w14:paraId="48757160">
      <w:pPr>
        <w:adjustRightInd w:val="0"/>
        <w:snapToGrid w:val="0"/>
        <w:spacing w:line="480" w:lineRule="auto"/>
        <w:rPr>
          <w:rFonts w:hint="eastAsia" w:ascii="仿宋" w:hAnsi="仿宋" w:cs="仿宋"/>
          <w:sz w:val="24"/>
        </w:rPr>
      </w:pPr>
      <w:r>
        <w:rPr>
          <w:rFonts w:hint="eastAsia" w:ascii="仿宋" w:hAnsi="仿宋" w:cs="仿宋"/>
          <w:sz w:val="24"/>
        </w:rPr>
        <w:t>法定代表人（或非法人组织负责人）或其授权委托人(签字或盖章)：</w:t>
      </w:r>
      <w:r>
        <w:rPr>
          <w:rFonts w:hint="eastAsia" w:ascii="仿宋" w:hAnsi="仿宋" w:cs="仿宋"/>
          <w:sz w:val="24"/>
          <w:u w:val="single"/>
        </w:rPr>
        <w:t xml:space="preserve">           </w:t>
      </w:r>
    </w:p>
    <w:p w14:paraId="47A3C5F6">
      <w:pPr>
        <w:adjustRightInd w:val="0"/>
        <w:snapToGrid w:val="0"/>
        <w:spacing w:line="480" w:lineRule="auto"/>
        <w:ind w:right="1050" w:rightChars="500"/>
        <w:rPr>
          <w:rFonts w:hint="eastAsia" w:ascii="仿宋" w:hAnsi="仿宋" w:cs="仿宋"/>
          <w:sz w:val="24"/>
        </w:rPr>
      </w:pPr>
      <w:r>
        <w:rPr>
          <w:rFonts w:hint="eastAsia" w:ascii="仿宋" w:hAnsi="仿宋" w:cs="仿宋"/>
          <w:sz w:val="24"/>
        </w:rPr>
        <w:t>日期：</w:t>
      </w:r>
      <w:r>
        <w:rPr>
          <w:rFonts w:hint="eastAsia" w:ascii="仿宋" w:hAnsi="仿宋" w:cs="仿宋"/>
          <w:sz w:val="24"/>
          <w:u w:val="single"/>
        </w:rPr>
        <w:t xml:space="preserve"> 2023.10.07  </w:t>
      </w:r>
    </w:p>
    <w:p w14:paraId="5D26DC8E">
      <w:pPr>
        <w:pStyle w:val="2"/>
        <w:rPr>
          <w:rFonts w:hint="eastAsia" w:ascii="仿宋" w:hAnsi="仿宋" w:eastAsia="仿宋" w:cs="仿宋"/>
          <w:szCs w:val="32"/>
        </w:rPr>
        <w:sectPr>
          <w:pgSz w:w="11906" w:h="16838"/>
          <w:pgMar w:top="1440" w:right="1800" w:bottom="1440" w:left="1800" w:header="851" w:footer="992" w:gutter="0"/>
          <w:cols w:space="720" w:num="1"/>
          <w:docGrid w:type="lines" w:linePitch="312" w:charSpace="0"/>
        </w:sectPr>
      </w:pPr>
      <w:bookmarkStart w:id="5" w:name="_Toc12954"/>
    </w:p>
    <w:p w14:paraId="3139152C">
      <w:pPr>
        <w:pStyle w:val="2"/>
        <w:rPr>
          <w:rFonts w:hint="eastAsia" w:ascii="仿宋" w:hAnsi="仿宋" w:eastAsia="仿宋" w:cs="仿宋"/>
          <w:szCs w:val="32"/>
        </w:rPr>
      </w:pPr>
      <w:r>
        <w:rPr>
          <w:rFonts w:hint="eastAsia" w:ascii="仿宋" w:hAnsi="仿宋" w:eastAsia="仿宋" w:cs="仿宋"/>
          <w:szCs w:val="32"/>
        </w:rPr>
        <w:t>服务价格明细表</w:t>
      </w:r>
      <w:bookmarkEnd w:id="5"/>
    </w:p>
    <w:p w14:paraId="3AB4F278">
      <w:pPr>
        <w:rPr>
          <w:rFonts w:hint="eastAsia" w:ascii="仿宋" w:hAnsi="仿宋" w:cs="仿宋"/>
        </w:rPr>
      </w:pPr>
    </w:p>
    <w:p w14:paraId="2C5B5DB6">
      <w:pPr>
        <w:adjustRightInd w:val="0"/>
        <w:snapToGrid w:val="0"/>
        <w:spacing w:line="360" w:lineRule="auto"/>
        <w:ind w:right="105" w:rightChars="50" w:firstLine="241" w:firstLineChars="100"/>
        <w:jc w:val="left"/>
        <w:rPr>
          <w:rFonts w:hint="eastAsia" w:ascii="仿宋" w:hAnsi="仿宋" w:cs="仿宋"/>
          <w:b/>
          <w:bCs/>
          <w:sz w:val="24"/>
        </w:rPr>
      </w:pPr>
      <w:r>
        <w:rPr>
          <w:rFonts w:hint="eastAsia" w:ascii="仿宋" w:hAnsi="仿宋" w:cs="仿宋"/>
          <w:b/>
          <w:bCs/>
          <w:sz w:val="24"/>
        </w:rPr>
        <w:t>包号：005包                                       报价单位：元</w:t>
      </w:r>
    </w:p>
    <w:tbl>
      <w:tblPr>
        <w:tblStyle w:val="8"/>
        <w:tblW w:w="86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988"/>
        <w:gridCol w:w="2036"/>
        <w:gridCol w:w="1957"/>
        <w:gridCol w:w="1848"/>
      </w:tblGrid>
      <w:tr w14:paraId="5582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834" w:type="dxa"/>
            <w:vAlign w:val="center"/>
          </w:tcPr>
          <w:p w14:paraId="39A30D2C">
            <w:pPr>
              <w:adjustRightInd w:val="0"/>
              <w:snapToGrid w:val="0"/>
              <w:ind w:left="-65" w:leftChars="-31" w:right="-46" w:rightChars="-22"/>
              <w:jc w:val="center"/>
              <w:rPr>
                <w:rFonts w:hint="eastAsia" w:ascii="仿宋" w:hAnsi="仿宋" w:cs="仿宋"/>
                <w:sz w:val="24"/>
              </w:rPr>
            </w:pPr>
            <w:r>
              <w:rPr>
                <w:rFonts w:hint="eastAsia" w:ascii="仿宋" w:hAnsi="仿宋" w:cs="仿宋"/>
                <w:sz w:val="24"/>
              </w:rPr>
              <w:t>序号</w:t>
            </w:r>
          </w:p>
        </w:tc>
        <w:tc>
          <w:tcPr>
            <w:tcW w:w="1988" w:type="dxa"/>
            <w:vAlign w:val="center"/>
          </w:tcPr>
          <w:p w14:paraId="481419C2">
            <w:pPr>
              <w:adjustRightInd w:val="0"/>
              <w:snapToGrid w:val="0"/>
              <w:ind w:left="-65" w:leftChars="-31" w:right="-46" w:rightChars="-22"/>
              <w:jc w:val="center"/>
              <w:rPr>
                <w:rFonts w:hint="eastAsia" w:ascii="仿宋" w:hAnsi="仿宋" w:cs="仿宋"/>
                <w:sz w:val="24"/>
              </w:rPr>
            </w:pPr>
            <w:r>
              <w:rPr>
                <w:rFonts w:hint="eastAsia" w:ascii="仿宋" w:hAnsi="仿宋" w:cs="仿宋"/>
                <w:sz w:val="24"/>
              </w:rPr>
              <w:t>服务名称</w:t>
            </w:r>
          </w:p>
        </w:tc>
        <w:tc>
          <w:tcPr>
            <w:tcW w:w="2036" w:type="dxa"/>
            <w:vAlign w:val="center"/>
          </w:tcPr>
          <w:p w14:paraId="3C3B1276">
            <w:pPr>
              <w:adjustRightInd w:val="0"/>
              <w:snapToGrid w:val="0"/>
              <w:ind w:left="-65" w:leftChars="-31" w:right="-46" w:rightChars="-22"/>
              <w:jc w:val="center"/>
              <w:rPr>
                <w:rFonts w:hint="eastAsia" w:ascii="仿宋" w:hAnsi="仿宋" w:cs="仿宋"/>
                <w:sz w:val="24"/>
              </w:rPr>
            </w:pPr>
            <w:r>
              <w:rPr>
                <w:rFonts w:hint="eastAsia" w:ascii="仿宋" w:hAnsi="仿宋" w:cs="仿宋"/>
                <w:sz w:val="24"/>
              </w:rPr>
              <w:t>单价</w:t>
            </w:r>
          </w:p>
        </w:tc>
        <w:tc>
          <w:tcPr>
            <w:tcW w:w="1957" w:type="dxa"/>
            <w:vAlign w:val="center"/>
          </w:tcPr>
          <w:p w14:paraId="6813C4C8">
            <w:pPr>
              <w:adjustRightInd w:val="0"/>
              <w:snapToGrid w:val="0"/>
              <w:ind w:left="-65" w:leftChars="-31" w:right="-46" w:rightChars="-22"/>
              <w:jc w:val="center"/>
              <w:rPr>
                <w:rFonts w:hint="eastAsia" w:ascii="仿宋" w:hAnsi="仿宋" w:cs="仿宋"/>
                <w:sz w:val="24"/>
              </w:rPr>
            </w:pPr>
            <w:r>
              <w:rPr>
                <w:rFonts w:hint="eastAsia" w:ascii="仿宋" w:hAnsi="仿宋" w:cs="仿宋"/>
                <w:sz w:val="24"/>
              </w:rPr>
              <w:t>总价</w:t>
            </w:r>
          </w:p>
        </w:tc>
        <w:tc>
          <w:tcPr>
            <w:tcW w:w="1848" w:type="dxa"/>
            <w:vAlign w:val="center"/>
          </w:tcPr>
          <w:p w14:paraId="64D91A8A">
            <w:pPr>
              <w:adjustRightInd w:val="0"/>
              <w:snapToGrid w:val="0"/>
              <w:ind w:left="-65" w:leftChars="-31" w:right="-46" w:rightChars="-22"/>
              <w:jc w:val="center"/>
              <w:rPr>
                <w:rFonts w:hint="eastAsia" w:ascii="仿宋" w:hAnsi="仿宋" w:cs="仿宋"/>
                <w:sz w:val="24"/>
              </w:rPr>
            </w:pPr>
            <w:r>
              <w:rPr>
                <w:rFonts w:hint="eastAsia" w:ascii="仿宋" w:hAnsi="仿宋" w:cs="仿宋"/>
                <w:sz w:val="24"/>
              </w:rPr>
              <w:t>备注</w:t>
            </w:r>
          </w:p>
        </w:tc>
      </w:tr>
      <w:tr w14:paraId="687D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834" w:type="dxa"/>
            <w:vAlign w:val="center"/>
          </w:tcPr>
          <w:p w14:paraId="07F9F5D9">
            <w:pPr>
              <w:adjustRightInd w:val="0"/>
              <w:snapToGrid w:val="0"/>
              <w:ind w:right="105" w:rightChars="50"/>
              <w:jc w:val="center"/>
              <w:rPr>
                <w:rFonts w:hint="eastAsia" w:ascii="仿宋" w:hAnsi="仿宋" w:cs="仿宋"/>
                <w:sz w:val="24"/>
              </w:rPr>
            </w:pPr>
            <w:r>
              <w:rPr>
                <w:rFonts w:hint="eastAsia" w:ascii="仿宋" w:hAnsi="仿宋" w:cs="仿宋"/>
                <w:sz w:val="24"/>
              </w:rPr>
              <w:t>1</w:t>
            </w:r>
          </w:p>
        </w:tc>
        <w:tc>
          <w:tcPr>
            <w:tcW w:w="1988" w:type="dxa"/>
            <w:vAlign w:val="center"/>
          </w:tcPr>
          <w:p w14:paraId="3FE5AFBB">
            <w:pPr>
              <w:adjustRightInd w:val="0"/>
              <w:snapToGrid w:val="0"/>
              <w:ind w:right="105" w:rightChars="50"/>
              <w:jc w:val="center"/>
              <w:rPr>
                <w:rFonts w:hint="eastAsia" w:ascii="仿宋" w:hAnsi="仿宋" w:cs="仿宋"/>
                <w:sz w:val="24"/>
              </w:rPr>
            </w:pPr>
            <w:r>
              <w:rPr>
                <w:rFonts w:hint="eastAsia" w:ascii="仿宋" w:hAnsi="仿宋" w:cs="仿宋"/>
                <w:sz w:val="24"/>
              </w:rPr>
              <w:t>服务费</w:t>
            </w:r>
          </w:p>
        </w:tc>
        <w:tc>
          <w:tcPr>
            <w:tcW w:w="2036" w:type="dxa"/>
            <w:vAlign w:val="center"/>
          </w:tcPr>
          <w:p w14:paraId="6D68D971">
            <w:pPr>
              <w:widowControl/>
              <w:jc w:val="right"/>
              <w:textAlignment w:val="center"/>
              <w:rPr>
                <w:rFonts w:hint="eastAsia" w:ascii="仿宋" w:hAnsi="仿宋" w:cs="仿宋"/>
                <w:sz w:val="24"/>
              </w:rPr>
            </w:pPr>
            <w:r>
              <w:rPr>
                <w:rFonts w:hint="eastAsia" w:ascii="仿宋" w:hAnsi="仿宋" w:cs="仿宋"/>
                <w:color w:val="000000"/>
                <w:kern w:val="0"/>
                <w:sz w:val="24"/>
              </w:rPr>
              <w:t xml:space="preserve">50,000.00 </w:t>
            </w:r>
          </w:p>
        </w:tc>
        <w:tc>
          <w:tcPr>
            <w:tcW w:w="1957" w:type="dxa"/>
            <w:vAlign w:val="center"/>
          </w:tcPr>
          <w:p w14:paraId="79CF618D">
            <w:pPr>
              <w:widowControl/>
              <w:jc w:val="right"/>
              <w:textAlignment w:val="center"/>
              <w:rPr>
                <w:rFonts w:hint="eastAsia" w:ascii="仿宋" w:hAnsi="仿宋" w:cs="仿宋"/>
                <w:color w:val="0000FF"/>
                <w:sz w:val="24"/>
              </w:rPr>
            </w:pPr>
            <w:r>
              <w:rPr>
                <w:rFonts w:hint="eastAsia" w:ascii="仿宋" w:hAnsi="仿宋" w:cs="仿宋"/>
                <w:color w:val="000000"/>
                <w:kern w:val="0"/>
                <w:sz w:val="24"/>
              </w:rPr>
              <w:t xml:space="preserve">50,000.00 </w:t>
            </w:r>
          </w:p>
        </w:tc>
        <w:tc>
          <w:tcPr>
            <w:tcW w:w="1848" w:type="dxa"/>
            <w:vAlign w:val="center"/>
          </w:tcPr>
          <w:p w14:paraId="0CD192EE">
            <w:pPr>
              <w:adjustRightInd w:val="0"/>
              <w:snapToGrid w:val="0"/>
              <w:ind w:right="105" w:rightChars="50"/>
              <w:jc w:val="left"/>
              <w:rPr>
                <w:rFonts w:hint="eastAsia" w:ascii="仿宋" w:hAnsi="仿宋" w:cs="仿宋"/>
                <w:color w:val="0000FF"/>
                <w:sz w:val="24"/>
              </w:rPr>
            </w:pPr>
          </w:p>
        </w:tc>
      </w:tr>
      <w:tr w14:paraId="1697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834" w:type="dxa"/>
            <w:vAlign w:val="center"/>
          </w:tcPr>
          <w:p w14:paraId="157EC634">
            <w:pPr>
              <w:adjustRightInd w:val="0"/>
              <w:snapToGrid w:val="0"/>
              <w:ind w:right="105" w:rightChars="50"/>
              <w:jc w:val="center"/>
              <w:rPr>
                <w:rFonts w:hint="eastAsia" w:ascii="仿宋" w:hAnsi="仿宋" w:cs="仿宋"/>
                <w:sz w:val="24"/>
              </w:rPr>
            </w:pPr>
            <w:r>
              <w:rPr>
                <w:rFonts w:hint="eastAsia" w:ascii="仿宋" w:hAnsi="仿宋" w:cs="仿宋"/>
                <w:sz w:val="24"/>
              </w:rPr>
              <w:t>2</w:t>
            </w:r>
          </w:p>
        </w:tc>
        <w:tc>
          <w:tcPr>
            <w:tcW w:w="1988" w:type="dxa"/>
            <w:vAlign w:val="center"/>
          </w:tcPr>
          <w:p w14:paraId="1D47914B">
            <w:pPr>
              <w:adjustRightInd w:val="0"/>
              <w:snapToGrid w:val="0"/>
              <w:ind w:right="105" w:rightChars="50"/>
              <w:jc w:val="center"/>
              <w:rPr>
                <w:rFonts w:hint="eastAsia" w:ascii="仿宋" w:hAnsi="仿宋" w:cs="仿宋"/>
                <w:sz w:val="24"/>
              </w:rPr>
            </w:pPr>
            <w:r>
              <w:rPr>
                <w:rFonts w:hint="eastAsia" w:ascii="仿宋" w:hAnsi="仿宋" w:cs="仿宋"/>
                <w:sz w:val="24"/>
              </w:rPr>
              <w:t>税费</w:t>
            </w:r>
          </w:p>
        </w:tc>
        <w:tc>
          <w:tcPr>
            <w:tcW w:w="2036" w:type="dxa"/>
            <w:vAlign w:val="center"/>
          </w:tcPr>
          <w:p w14:paraId="3F5A1F8F">
            <w:pPr>
              <w:widowControl/>
              <w:jc w:val="right"/>
              <w:textAlignment w:val="center"/>
              <w:rPr>
                <w:rFonts w:hint="eastAsia" w:ascii="仿宋" w:hAnsi="仿宋" w:cs="仿宋"/>
                <w:sz w:val="24"/>
              </w:rPr>
            </w:pPr>
            <w:r>
              <w:rPr>
                <w:rFonts w:hint="eastAsia" w:ascii="仿宋" w:hAnsi="仿宋" w:cs="仿宋"/>
                <w:color w:val="000000"/>
                <w:kern w:val="0"/>
                <w:sz w:val="24"/>
              </w:rPr>
              <w:t xml:space="preserve">10,400.00 </w:t>
            </w:r>
          </w:p>
        </w:tc>
        <w:tc>
          <w:tcPr>
            <w:tcW w:w="1957" w:type="dxa"/>
            <w:vAlign w:val="center"/>
          </w:tcPr>
          <w:p w14:paraId="3782C7EA">
            <w:pPr>
              <w:widowControl/>
              <w:jc w:val="right"/>
              <w:textAlignment w:val="center"/>
              <w:rPr>
                <w:rFonts w:hint="eastAsia" w:ascii="仿宋" w:hAnsi="仿宋" w:cs="仿宋"/>
                <w:color w:val="0000FF"/>
                <w:sz w:val="24"/>
              </w:rPr>
            </w:pPr>
            <w:r>
              <w:rPr>
                <w:rFonts w:hint="eastAsia" w:ascii="仿宋" w:hAnsi="仿宋" w:cs="仿宋"/>
                <w:color w:val="000000"/>
                <w:kern w:val="0"/>
                <w:sz w:val="24"/>
              </w:rPr>
              <w:t xml:space="preserve">10,400.00 </w:t>
            </w:r>
          </w:p>
        </w:tc>
        <w:tc>
          <w:tcPr>
            <w:tcW w:w="1848" w:type="dxa"/>
            <w:vAlign w:val="center"/>
          </w:tcPr>
          <w:p w14:paraId="5630C021">
            <w:pPr>
              <w:adjustRightInd w:val="0"/>
              <w:snapToGrid w:val="0"/>
              <w:ind w:right="105" w:rightChars="50"/>
              <w:jc w:val="center"/>
              <w:rPr>
                <w:rFonts w:hint="eastAsia" w:ascii="仿宋" w:hAnsi="仿宋" w:cs="仿宋"/>
                <w:color w:val="0000FF"/>
                <w:sz w:val="24"/>
              </w:rPr>
            </w:pPr>
          </w:p>
        </w:tc>
      </w:tr>
      <w:tr w14:paraId="1F6CA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834" w:type="dxa"/>
            <w:vAlign w:val="center"/>
          </w:tcPr>
          <w:p w14:paraId="104BD5CB">
            <w:pPr>
              <w:adjustRightInd w:val="0"/>
              <w:snapToGrid w:val="0"/>
              <w:ind w:right="105" w:rightChars="50"/>
              <w:jc w:val="center"/>
              <w:rPr>
                <w:rFonts w:hint="eastAsia" w:ascii="仿宋" w:hAnsi="仿宋" w:cs="仿宋"/>
                <w:sz w:val="24"/>
              </w:rPr>
            </w:pPr>
            <w:r>
              <w:rPr>
                <w:rFonts w:hint="eastAsia" w:ascii="仿宋" w:hAnsi="仿宋" w:cs="仿宋"/>
                <w:sz w:val="24"/>
              </w:rPr>
              <w:t>3</w:t>
            </w:r>
          </w:p>
        </w:tc>
        <w:tc>
          <w:tcPr>
            <w:tcW w:w="1988" w:type="dxa"/>
            <w:vAlign w:val="center"/>
          </w:tcPr>
          <w:p w14:paraId="64A8DF5C">
            <w:pPr>
              <w:adjustRightInd w:val="0"/>
              <w:snapToGrid w:val="0"/>
              <w:ind w:right="105" w:rightChars="50"/>
              <w:jc w:val="center"/>
              <w:rPr>
                <w:rFonts w:hint="eastAsia" w:ascii="仿宋" w:hAnsi="仿宋" w:cs="仿宋"/>
                <w:sz w:val="24"/>
              </w:rPr>
            </w:pPr>
            <w:r>
              <w:rPr>
                <w:rFonts w:hint="eastAsia" w:ascii="仿宋" w:hAnsi="仿宋" w:cs="仿宋"/>
                <w:sz w:val="24"/>
              </w:rPr>
              <w:t>差旅费</w:t>
            </w:r>
          </w:p>
        </w:tc>
        <w:tc>
          <w:tcPr>
            <w:tcW w:w="2036" w:type="dxa"/>
            <w:vAlign w:val="center"/>
          </w:tcPr>
          <w:p w14:paraId="10B1F192">
            <w:pPr>
              <w:widowControl/>
              <w:jc w:val="right"/>
              <w:textAlignment w:val="center"/>
              <w:rPr>
                <w:rFonts w:hint="eastAsia" w:ascii="仿宋" w:hAnsi="仿宋" w:cs="仿宋"/>
                <w:sz w:val="24"/>
              </w:rPr>
            </w:pPr>
            <w:r>
              <w:rPr>
                <w:rFonts w:hint="eastAsia" w:ascii="仿宋" w:hAnsi="仿宋" w:cs="仿宋"/>
                <w:color w:val="000000"/>
                <w:kern w:val="0"/>
                <w:sz w:val="24"/>
              </w:rPr>
              <w:t xml:space="preserve">10,000.00 </w:t>
            </w:r>
          </w:p>
        </w:tc>
        <w:tc>
          <w:tcPr>
            <w:tcW w:w="1957" w:type="dxa"/>
            <w:vAlign w:val="center"/>
          </w:tcPr>
          <w:p w14:paraId="221BD226">
            <w:pPr>
              <w:widowControl/>
              <w:jc w:val="right"/>
              <w:textAlignment w:val="center"/>
              <w:rPr>
                <w:rFonts w:hint="eastAsia" w:ascii="仿宋" w:hAnsi="仿宋" w:cs="仿宋"/>
                <w:color w:val="0000FF"/>
                <w:sz w:val="24"/>
              </w:rPr>
            </w:pPr>
            <w:r>
              <w:rPr>
                <w:rFonts w:hint="eastAsia" w:ascii="仿宋" w:hAnsi="仿宋" w:cs="仿宋"/>
                <w:color w:val="000000"/>
                <w:kern w:val="0"/>
                <w:sz w:val="24"/>
              </w:rPr>
              <w:t xml:space="preserve">10,000.00 </w:t>
            </w:r>
          </w:p>
        </w:tc>
        <w:tc>
          <w:tcPr>
            <w:tcW w:w="1848" w:type="dxa"/>
            <w:vAlign w:val="center"/>
          </w:tcPr>
          <w:p w14:paraId="21489921">
            <w:pPr>
              <w:adjustRightInd w:val="0"/>
              <w:snapToGrid w:val="0"/>
              <w:ind w:right="105" w:rightChars="50"/>
              <w:jc w:val="left"/>
              <w:rPr>
                <w:rFonts w:hint="eastAsia" w:ascii="仿宋" w:hAnsi="仿宋" w:cs="仿宋"/>
                <w:color w:val="0000FF"/>
                <w:sz w:val="24"/>
              </w:rPr>
            </w:pPr>
          </w:p>
        </w:tc>
      </w:tr>
      <w:tr w14:paraId="2EEF5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834" w:type="dxa"/>
            <w:vAlign w:val="center"/>
          </w:tcPr>
          <w:p w14:paraId="451A7BCD">
            <w:pPr>
              <w:adjustRightInd w:val="0"/>
              <w:snapToGrid w:val="0"/>
              <w:ind w:right="105" w:rightChars="50"/>
              <w:jc w:val="center"/>
              <w:rPr>
                <w:rFonts w:hint="eastAsia" w:ascii="仿宋" w:hAnsi="仿宋" w:cs="仿宋"/>
                <w:sz w:val="24"/>
              </w:rPr>
            </w:pPr>
            <w:r>
              <w:rPr>
                <w:rFonts w:hint="eastAsia" w:ascii="仿宋" w:hAnsi="仿宋" w:cs="仿宋"/>
                <w:sz w:val="24"/>
              </w:rPr>
              <w:t>4</w:t>
            </w:r>
          </w:p>
        </w:tc>
        <w:tc>
          <w:tcPr>
            <w:tcW w:w="1988" w:type="dxa"/>
            <w:vAlign w:val="center"/>
          </w:tcPr>
          <w:p w14:paraId="1456EC93">
            <w:pPr>
              <w:adjustRightInd w:val="0"/>
              <w:snapToGrid w:val="0"/>
              <w:ind w:right="105" w:rightChars="50"/>
              <w:jc w:val="center"/>
              <w:rPr>
                <w:rFonts w:hint="eastAsia" w:ascii="仿宋" w:hAnsi="仿宋" w:cs="仿宋"/>
                <w:sz w:val="24"/>
              </w:rPr>
            </w:pPr>
            <w:r>
              <w:rPr>
                <w:rFonts w:hint="eastAsia" w:ascii="仿宋" w:hAnsi="仿宋" w:cs="仿宋"/>
                <w:sz w:val="24"/>
              </w:rPr>
              <w:t>通讯费</w:t>
            </w:r>
          </w:p>
        </w:tc>
        <w:tc>
          <w:tcPr>
            <w:tcW w:w="2036" w:type="dxa"/>
            <w:vAlign w:val="center"/>
          </w:tcPr>
          <w:p w14:paraId="6F3230CB">
            <w:pPr>
              <w:widowControl/>
              <w:jc w:val="right"/>
              <w:textAlignment w:val="center"/>
              <w:rPr>
                <w:rFonts w:hint="eastAsia" w:ascii="仿宋" w:hAnsi="仿宋" w:cs="仿宋"/>
                <w:sz w:val="24"/>
              </w:rPr>
            </w:pPr>
            <w:r>
              <w:rPr>
                <w:rFonts w:hint="eastAsia" w:ascii="仿宋" w:hAnsi="仿宋" w:cs="仿宋"/>
                <w:color w:val="000000"/>
                <w:kern w:val="0"/>
                <w:sz w:val="24"/>
              </w:rPr>
              <w:t xml:space="preserve">5,000.00 </w:t>
            </w:r>
          </w:p>
        </w:tc>
        <w:tc>
          <w:tcPr>
            <w:tcW w:w="1957" w:type="dxa"/>
            <w:vAlign w:val="center"/>
          </w:tcPr>
          <w:p w14:paraId="24465AAF">
            <w:pPr>
              <w:widowControl/>
              <w:jc w:val="right"/>
              <w:textAlignment w:val="center"/>
              <w:rPr>
                <w:rFonts w:hint="eastAsia" w:ascii="仿宋" w:hAnsi="仿宋" w:cs="仿宋"/>
                <w:color w:val="0000FF"/>
                <w:sz w:val="24"/>
              </w:rPr>
            </w:pPr>
            <w:r>
              <w:rPr>
                <w:rFonts w:hint="eastAsia" w:ascii="仿宋" w:hAnsi="仿宋" w:cs="仿宋"/>
                <w:color w:val="000000"/>
                <w:kern w:val="0"/>
                <w:sz w:val="24"/>
              </w:rPr>
              <w:t xml:space="preserve">5,000.00 </w:t>
            </w:r>
          </w:p>
        </w:tc>
        <w:tc>
          <w:tcPr>
            <w:tcW w:w="1848" w:type="dxa"/>
            <w:vAlign w:val="center"/>
          </w:tcPr>
          <w:p w14:paraId="08A58D71">
            <w:pPr>
              <w:adjustRightInd w:val="0"/>
              <w:snapToGrid w:val="0"/>
              <w:ind w:right="105" w:rightChars="50"/>
              <w:jc w:val="left"/>
              <w:rPr>
                <w:rFonts w:hint="eastAsia" w:ascii="仿宋" w:hAnsi="仿宋" w:cs="仿宋"/>
                <w:color w:val="0000FF"/>
                <w:sz w:val="24"/>
              </w:rPr>
            </w:pPr>
          </w:p>
        </w:tc>
      </w:tr>
      <w:tr w14:paraId="3C8E3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834" w:type="dxa"/>
            <w:vAlign w:val="center"/>
          </w:tcPr>
          <w:p w14:paraId="25A29C2D">
            <w:pPr>
              <w:adjustRightInd w:val="0"/>
              <w:snapToGrid w:val="0"/>
              <w:ind w:right="105" w:rightChars="50"/>
              <w:jc w:val="center"/>
              <w:rPr>
                <w:rFonts w:hint="eastAsia" w:ascii="仿宋" w:hAnsi="仿宋" w:cs="仿宋"/>
                <w:sz w:val="24"/>
              </w:rPr>
            </w:pPr>
            <w:r>
              <w:rPr>
                <w:rFonts w:hint="eastAsia" w:ascii="仿宋" w:hAnsi="仿宋" w:cs="仿宋"/>
                <w:sz w:val="24"/>
              </w:rPr>
              <w:t>5</w:t>
            </w:r>
          </w:p>
        </w:tc>
        <w:tc>
          <w:tcPr>
            <w:tcW w:w="1988" w:type="dxa"/>
            <w:vAlign w:val="center"/>
          </w:tcPr>
          <w:p w14:paraId="0AE0902D">
            <w:pPr>
              <w:adjustRightInd w:val="0"/>
              <w:snapToGrid w:val="0"/>
              <w:ind w:right="105" w:rightChars="50"/>
              <w:jc w:val="center"/>
              <w:rPr>
                <w:rFonts w:hint="eastAsia" w:ascii="仿宋" w:hAnsi="仿宋" w:cs="仿宋"/>
                <w:sz w:val="24"/>
              </w:rPr>
            </w:pPr>
            <w:r>
              <w:rPr>
                <w:rFonts w:hint="eastAsia" w:ascii="仿宋" w:hAnsi="仿宋" w:cs="仿宋"/>
                <w:sz w:val="24"/>
              </w:rPr>
              <w:t>其他</w:t>
            </w:r>
          </w:p>
        </w:tc>
        <w:tc>
          <w:tcPr>
            <w:tcW w:w="2036" w:type="dxa"/>
            <w:vAlign w:val="center"/>
          </w:tcPr>
          <w:p w14:paraId="05030FF0">
            <w:pPr>
              <w:widowControl/>
              <w:jc w:val="right"/>
              <w:textAlignment w:val="center"/>
              <w:rPr>
                <w:rFonts w:hint="eastAsia" w:ascii="仿宋" w:hAnsi="仿宋" w:cs="仿宋"/>
                <w:sz w:val="24"/>
              </w:rPr>
            </w:pPr>
            <w:r>
              <w:rPr>
                <w:rFonts w:hint="eastAsia" w:ascii="仿宋" w:hAnsi="仿宋" w:cs="仿宋"/>
                <w:color w:val="000000"/>
                <w:kern w:val="0"/>
                <w:sz w:val="24"/>
              </w:rPr>
              <w:t xml:space="preserve">4,500.00 </w:t>
            </w:r>
          </w:p>
        </w:tc>
        <w:tc>
          <w:tcPr>
            <w:tcW w:w="1957" w:type="dxa"/>
            <w:vAlign w:val="center"/>
          </w:tcPr>
          <w:p w14:paraId="3D110E3F">
            <w:pPr>
              <w:widowControl/>
              <w:jc w:val="right"/>
              <w:textAlignment w:val="center"/>
              <w:rPr>
                <w:rFonts w:hint="eastAsia" w:ascii="仿宋" w:hAnsi="仿宋" w:cs="仿宋"/>
                <w:color w:val="0000FF"/>
                <w:sz w:val="24"/>
              </w:rPr>
            </w:pPr>
            <w:r>
              <w:rPr>
                <w:rFonts w:hint="eastAsia" w:ascii="仿宋" w:hAnsi="仿宋" w:cs="仿宋"/>
                <w:color w:val="000000"/>
                <w:kern w:val="0"/>
                <w:sz w:val="24"/>
              </w:rPr>
              <w:t xml:space="preserve">4,500.00 </w:t>
            </w:r>
          </w:p>
        </w:tc>
        <w:tc>
          <w:tcPr>
            <w:tcW w:w="1848" w:type="dxa"/>
            <w:vAlign w:val="center"/>
          </w:tcPr>
          <w:p w14:paraId="43D91EC0">
            <w:pPr>
              <w:adjustRightInd w:val="0"/>
              <w:snapToGrid w:val="0"/>
              <w:ind w:right="105" w:rightChars="50"/>
              <w:jc w:val="left"/>
              <w:rPr>
                <w:rFonts w:hint="eastAsia" w:ascii="仿宋" w:hAnsi="仿宋" w:cs="仿宋"/>
                <w:color w:val="0000FF"/>
                <w:sz w:val="24"/>
              </w:rPr>
            </w:pPr>
          </w:p>
        </w:tc>
      </w:tr>
      <w:tr w14:paraId="7585A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22" w:type="dxa"/>
            <w:gridSpan w:val="2"/>
            <w:vAlign w:val="center"/>
          </w:tcPr>
          <w:p w14:paraId="1344756C">
            <w:pPr>
              <w:adjustRightInd w:val="0"/>
              <w:snapToGrid w:val="0"/>
              <w:ind w:right="105" w:rightChars="50"/>
              <w:jc w:val="center"/>
              <w:rPr>
                <w:rFonts w:hint="eastAsia" w:ascii="仿宋" w:hAnsi="仿宋" w:cs="仿宋"/>
                <w:sz w:val="24"/>
              </w:rPr>
            </w:pPr>
            <w:r>
              <w:rPr>
                <w:rFonts w:hint="eastAsia" w:ascii="仿宋" w:hAnsi="仿宋" w:cs="仿宋"/>
                <w:sz w:val="24"/>
              </w:rPr>
              <w:t>总价</w:t>
            </w:r>
          </w:p>
        </w:tc>
        <w:tc>
          <w:tcPr>
            <w:tcW w:w="2036" w:type="dxa"/>
            <w:vAlign w:val="center"/>
          </w:tcPr>
          <w:p w14:paraId="0B393B7E">
            <w:pPr>
              <w:widowControl/>
              <w:jc w:val="right"/>
              <w:textAlignment w:val="center"/>
              <w:rPr>
                <w:rFonts w:hint="eastAsia" w:ascii="仿宋" w:hAnsi="仿宋" w:cs="仿宋"/>
                <w:color w:val="000000"/>
                <w:sz w:val="24"/>
              </w:rPr>
            </w:pPr>
            <w:r>
              <w:rPr>
                <w:rFonts w:hint="eastAsia" w:ascii="仿宋" w:hAnsi="仿宋" w:cs="仿宋"/>
                <w:color w:val="000000"/>
                <w:kern w:val="0"/>
                <w:sz w:val="24"/>
              </w:rPr>
              <w:t xml:space="preserve">79,900.00 </w:t>
            </w:r>
          </w:p>
        </w:tc>
        <w:tc>
          <w:tcPr>
            <w:tcW w:w="1957" w:type="dxa"/>
            <w:vAlign w:val="center"/>
          </w:tcPr>
          <w:p w14:paraId="4B5705BA">
            <w:pPr>
              <w:widowControl/>
              <w:jc w:val="right"/>
              <w:textAlignment w:val="center"/>
              <w:rPr>
                <w:rFonts w:hint="eastAsia" w:ascii="仿宋" w:hAnsi="仿宋" w:cs="仿宋"/>
                <w:color w:val="000000"/>
                <w:sz w:val="24"/>
              </w:rPr>
            </w:pPr>
            <w:r>
              <w:rPr>
                <w:rFonts w:hint="eastAsia" w:ascii="仿宋" w:hAnsi="仿宋" w:cs="仿宋"/>
                <w:color w:val="000000"/>
                <w:kern w:val="0"/>
                <w:sz w:val="24"/>
              </w:rPr>
              <w:t xml:space="preserve">79,900.00 </w:t>
            </w:r>
          </w:p>
        </w:tc>
        <w:tc>
          <w:tcPr>
            <w:tcW w:w="1848" w:type="dxa"/>
            <w:vAlign w:val="center"/>
          </w:tcPr>
          <w:p w14:paraId="30F3AEE2">
            <w:pPr>
              <w:adjustRightInd w:val="0"/>
              <w:snapToGrid w:val="0"/>
              <w:ind w:right="105" w:rightChars="50"/>
              <w:jc w:val="left"/>
              <w:rPr>
                <w:rFonts w:hint="eastAsia" w:ascii="仿宋" w:hAnsi="仿宋" w:cs="仿宋"/>
                <w:sz w:val="24"/>
              </w:rPr>
            </w:pPr>
          </w:p>
        </w:tc>
      </w:tr>
    </w:tbl>
    <w:p w14:paraId="19FF7791">
      <w:pPr>
        <w:pStyle w:val="16"/>
        <w:rPr>
          <w:rFonts w:hint="eastAsia" w:ascii="仿宋" w:hAnsi="仿宋" w:cs="仿宋"/>
          <w:szCs w:val="21"/>
        </w:rPr>
      </w:pPr>
    </w:p>
    <w:p w14:paraId="51CF3EDC">
      <w:pPr>
        <w:pStyle w:val="16"/>
        <w:rPr>
          <w:rFonts w:hint="eastAsia" w:ascii="仿宋" w:hAnsi="仿宋" w:cs="仿宋"/>
          <w:szCs w:val="21"/>
        </w:rPr>
      </w:pPr>
    </w:p>
    <w:p w14:paraId="490872ED">
      <w:pPr>
        <w:adjustRightInd w:val="0"/>
        <w:snapToGrid w:val="0"/>
        <w:spacing w:line="360" w:lineRule="auto"/>
        <w:ind w:right="105" w:rightChars="50" w:firstLine="480" w:firstLineChars="200"/>
        <w:jc w:val="left"/>
        <w:rPr>
          <w:rFonts w:hint="eastAsia" w:ascii="仿宋" w:hAnsi="仿宋" w:cs="仿宋"/>
          <w:sz w:val="24"/>
        </w:rPr>
      </w:pPr>
      <w:r>
        <w:rPr>
          <w:rFonts w:hint="eastAsia" w:ascii="仿宋" w:hAnsi="仿宋" w:cs="仿宋"/>
          <w:sz w:val="24"/>
        </w:rPr>
        <w:t>注：1.此表中，总价应和开标一览表的投标总价相一致。</w:t>
      </w:r>
    </w:p>
    <w:p w14:paraId="343E0944">
      <w:pPr>
        <w:adjustRightInd w:val="0"/>
        <w:snapToGrid w:val="0"/>
        <w:spacing w:line="360" w:lineRule="auto"/>
        <w:ind w:right="105" w:rightChars="50" w:firstLine="960" w:firstLineChars="400"/>
        <w:jc w:val="left"/>
        <w:rPr>
          <w:rFonts w:hint="eastAsia" w:ascii="仿宋" w:hAnsi="仿宋" w:cs="仿宋"/>
          <w:sz w:val="24"/>
        </w:rPr>
      </w:pPr>
      <w:r>
        <w:rPr>
          <w:rFonts w:hint="eastAsia" w:ascii="仿宋" w:hAnsi="仿宋" w:cs="仿宋"/>
          <w:sz w:val="24"/>
        </w:rPr>
        <w:t>2.本表可根据实际情况进行拓展。</w:t>
      </w:r>
    </w:p>
    <w:p w14:paraId="4BE083EB">
      <w:pPr>
        <w:pStyle w:val="16"/>
        <w:ind w:leftChars="400" w:firstLine="0"/>
        <w:rPr>
          <w:rFonts w:hint="eastAsia" w:ascii="仿宋" w:hAnsi="仿宋" w:cs="仿宋"/>
          <w:sz w:val="24"/>
        </w:rPr>
      </w:pPr>
    </w:p>
    <w:p w14:paraId="23DDEDC4">
      <w:pPr>
        <w:adjustRightInd w:val="0"/>
        <w:snapToGrid w:val="0"/>
        <w:spacing w:line="480" w:lineRule="auto"/>
        <w:rPr>
          <w:rFonts w:hint="eastAsia" w:ascii="仿宋" w:hAnsi="仿宋" w:cs="仿宋"/>
          <w:sz w:val="24"/>
        </w:rPr>
      </w:pPr>
    </w:p>
    <w:p w14:paraId="4FC1FD9A">
      <w:pPr>
        <w:pStyle w:val="3"/>
        <w:rPr>
          <w:rFonts w:hint="eastAsia" w:ascii="仿宋" w:hAnsi="仿宋" w:cs="仿宋"/>
          <w:sz w:val="24"/>
        </w:rPr>
      </w:pPr>
    </w:p>
    <w:p w14:paraId="1D99CFC4">
      <w:pPr>
        <w:rPr>
          <w:rFonts w:hint="eastAsia" w:ascii="仿宋" w:hAnsi="仿宋" w:cs="仿宋"/>
        </w:rPr>
      </w:pPr>
    </w:p>
    <w:p w14:paraId="57436CBD">
      <w:pPr>
        <w:adjustRightInd w:val="0"/>
        <w:snapToGrid w:val="0"/>
        <w:spacing w:line="480" w:lineRule="auto"/>
        <w:rPr>
          <w:rFonts w:hint="eastAsia" w:ascii="仿宋" w:hAnsi="仿宋" w:cs="仿宋"/>
          <w:sz w:val="24"/>
        </w:rPr>
      </w:pPr>
      <w:r>
        <w:rPr>
          <w:rFonts w:hint="eastAsia" w:ascii="仿宋" w:hAnsi="仿宋" w:cs="仿宋"/>
          <w:sz w:val="24"/>
        </w:rPr>
        <w:t>投标人名称（加盖单位公章）：</w:t>
      </w:r>
      <w:r>
        <w:rPr>
          <w:rFonts w:hint="eastAsia" w:ascii="仿宋" w:hAnsi="仿宋" w:cs="仿宋"/>
          <w:sz w:val="24"/>
          <w:u w:val="single"/>
        </w:rPr>
        <w:t xml:space="preserve">  辽宁润致会计师事务所（普通合伙）          </w:t>
      </w:r>
    </w:p>
    <w:p w14:paraId="4528E5D3">
      <w:pPr>
        <w:adjustRightInd w:val="0"/>
        <w:snapToGrid w:val="0"/>
        <w:spacing w:line="480" w:lineRule="auto"/>
        <w:rPr>
          <w:rFonts w:hint="eastAsia" w:ascii="仿宋" w:hAnsi="仿宋" w:cs="仿宋"/>
          <w:sz w:val="24"/>
        </w:rPr>
      </w:pPr>
      <w:r>
        <w:rPr>
          <w:rFonts w:hint="eastAsia" w:ascii="仿宋" w:hAnsi="仿宋" w:cs="仿宋"/>
          <w:sz w:val="24"/>
        </w:rPr>
        <w:t>法定代表人（或非法人组织负责人）或其授权委托人(签字或盖章)：</w:t>
      </w:r>
      <w:r>
        <w:rPr>
          <w:rFonts w:hint="eastAsia" w:ascii="仿宋" w:hAnsi="仿宋" w:cs="仿宋"/>
          <w:sz w:val="24"/>
          <w:u w:val="single"/>
        </w:rPr>
        <w:t xml:space="preserve">           </w:t>
      </w:r>
    </w:p>
    <w:p w14:paraId="105B0E69">
      <w:pPr>
        <w:adjustRightInd w:val="0"/>
        <w:snapToGrid w:val="0"/>
        <w:spacing w:line="480" w:lineRule="auto"/>
        <w:ind w:right="1050" w:rightChars="500"/>
        <w:rPr>
          <w:rFonts w:hint="eastAsia" w:ascii="仿宋" w:hAnsi="仿宋" w:cs="仿宋"/>
          <w:sz w:val="24"/>
        </w:rPr>
      </w:pPr>
      <w:r>
        <w:rPr>
          <w:rFonts w:hint="eastAsia" w:ascii="仿宋" w:hAnsi="仿宋" w:cs="仿宋"/>
          <w:sz w:val="24"/>
        </w:rPr>
        <w:t>日期：</w:t>
      </w:r>
      <w:r>
        <w:rPr>
          <w:rFonts w:hint="eastAsia" w:ascii="仿宋" w:hAnsi="仿宋" w:cs="仿宋"/>
          <w:sz w:val="24"/>
          <w:u w:val="single"/>
        </w:rPr>
        <w:t xml:space="preserve">    2023.10.07   </w:t>
      </w:r>
    </w:p>
    <w:p w14:paraId="02702B69">
      <w:pPr>
        <w:sectPr>
          <w:pgSz w:w="11906" w:h="16838"/>
          <w:pgMar w:top="1440" w:right="1800" w:bottom="1440" w:left="1800" w:header="851" w:footer="992" w:gutter="0"/>
          <w:cols w:space="720" w:num="1"/>
          <w:docGrid w:type="lines" w:linePitch="312" w:charSpace="0"/>
        </w:sectPr>
      </w:pPr>
    </w:p>
    <w:p w14:paraId="3FEFC0FB">
      <w:pPr>
        <w:pStyle w:val="2"/>
        <w:rPr>
          <w:rFonts w:hint="eastAsia" w:ascii="仿宋" w:hAnsi="仿宋" w:eastAsia="仿宋" w:cs="仿宋"/>
          <w:szCs w:val="28"/>
        </w:rPr>
      </w:pPr>
      <w:bookmarkStart w:id="6" w:name="_Toc7528"/>
      <w:r>
        <w:rPr>
          <w:rFonts w:hint="eastAsia" w:ascii="仿宋" w:hAnsi="仿宋" w:eastAsia="仿宋" w:cs="仿宋"/>
          <w:szCs w:val="28"/>
        </w:rPr>
        <w:t>服务需求响应表</w:t>
      </w:r>
      <w:bookmarkEnd w:id="6"/>
    </w:p>
    <w:tbl>
      <w:tblPr>
        <w:tblStyle w:val="8"/>
        <w:tblW w:w="0" w:type="auto"/>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27"/>
        <w:gridCol w:w="3427"/>
        <w:gridCol w:w="512"/>
        <w:gridCol w:w="512"/>
        <w:gridCol w:w="654"/>
      </w:tblGrid>
      <w:tr w14:paraId="1A45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0" w:type="auto"/>
            <w:gridSpan w:val="5"/>
            <w:tcBorders>
              <w:top w:val="single" w:color="auto" w:sz="4" w:space="0"/>
              <w:left w:val="single" w:color="auto" w:sz="4" w:space="0"/>
              <w:bottom w:val="single" w:color="auto" w:sz="4" w:space="0"/>
              <w:right w:val="single" w:color="auto" w:sz="4" w:space="0"/>
            </w:tcBorders>
            <w:vAlign w:val="center"/>
          </w:tcPr>
          <w:p w14:paraId="6E6D6CC8">
            <w:pPr>
              <w:adjustRightInd w:val="0"/>
              <w:snapToGrid w:val="0"/>
              <w:ind w:right="105" w:rightChars="50"/>
              <w:jc w:val="left"/>
              <w:rPr>
                <w:rFonts w:hint="eastAsia" w:ascii="仿宋" w:hAnsi="仿宋" w:cs="仿宋"/>
                <w:szCs w:val="21"/>
              </w:rPr>
            </w:pPr>
            <w:r>
              <w:rPr>
                <w:rFonts w:hint="eastAsia" w:ascii="仿宋" w:hAnsi="仿宋" w:cs="仿宋"/>
                <w:szCs w:val="21"/>
              </w:rPr>
              <w:t>包号/品目号：005</w:t>
            </w:r>
          </w:p>
          <w:p w14:paraId="40617026">
            <w:pPr>
              <w:pStyle w:val="7"/>
              <w:widowControl w:val="0"/>
              <w:snapToGrid w:val="0"/>
              <w:spacing w:before="0" w:beforeAutospacing="0" w:after="0" w:afterAutospacing="0"/>
              <w:rPr>
                <w:rFonts w:hint="eastAsia" w:ascii="仿宋" w:hAnsi="仿宋" w:eastAsia="仿宋" w:cs="仿宋"/>
                <w:sz w:val="21"/>
                <w:szCs w:val="21"/>
              </w:rPr>
            </w:pPr>
            <w:r>
              <w:rPr>
                <w:rFonts w:hint="eastAsia" w:ascii="仿宋" w:hAnsi="仿宋" w:eastAsia="仿宋" w:cs="仿宋"/>
                <w:kern w:val="2"/>
                <w:sz w:val="21"/>
                <w:szCs w:val="21"/>
              </w:rPr>
              <w:t>服务内容：鞍山市交通运输局涉疫人员转运车辆费用和《重点物资运输通行证》印刷费项目、鞍山市乡村振兴局全口径贷款贴息资金项目。</w:t>
            </w:r>
          </w:p>
        </w:tc>
      </w:tr>
      <w:tr w14:paraId="0CCE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trPr>
        <w:tc>
          <w:tcPr>
            <w:tcW w:w="3552" w:type="dxa"/>
            <w:tcBorders>
              <w:top w:val="single" w:color="auto" w:sz="4" w:space="0"/>
              <w:left w:val="single" w:color="auto" w:sz="4" w:space="0"/>
              <w:bottom w:val="single" w:color="auto" w:sz="4" w:space="0"/>
              <w:right w:val="single" w:color="auto" w:sz="4" w:space="0"/>
            </w:tcBorders>
            <w:vAlign w:val="center"/>
          </w:tcPr>
          <w:p w14:paraId="724142C2">
            <w:pPr>
              <w:jc w:val="center"/>
              <w:rPr>
                <w:rFonts w:hint="eastAsia" w:ascii="仿宋" w:hAnsi="仿宋" w:cs="仿宋"/>
                <w:szCs w:val="21"/>
              </w:rPr>
            </w:pPr>
            <w:r>
              <w:rPr>
                <w:rFonts w:hint="eastAsia" w:ascii="仿宋" w:hAnsi="仿宋" w:cs="仿宋"/>
                <w:szCs w:val="21"/>
              </w:rPr>
              <w:t>招标文件要求</w:t>
            </w:r>
          </w:p>
          <w:p w14:paraId="325C5FBE">
            <w:pPr>
              <w:ind w:hanging="1"/>
              <w:rPr>
                <w:rFonts w:hint="eastAsia" w:ascii="仿宋" w:hAnsi="仿宋" w:cs="仿宋"/>
                <w:b/>
                <w:szCs w:val="21"/>
              </w:rPr>
            </w:pPr>
            <w:r>
              <w:rPr>
                <w:rFonts w:hint="eastAsia" w:ascii="仿宋" w:hAnsi="仿宋" w:cs="仿宋"/>
                <w:b/>
                <w:szCs w:val="21"/>
              </w:rPr>
              <w:t>重要提示：实质性要求及重要指标用★标注（“★”必须标注在序号前），★标注项不得负偏离，如果负偏离，则投标文件无效。</w:t>
            </w:r>
          </w:p>
        </w:tc>
        <w:tc>
          <w:tcPr>
            <w:tcW w:w="3552" w:type="dxa"/>
            <w:tcBorders>
              <w:top w:val="single" w:color="auto" w:sz="4" w:space="0"/>
              <w:left w:val="single" w:color="auto" w:sz="4" w:space="0"/>
              <w:bottom w:val="single" w:color="auto" w:sz="4" w:space="0"/>
              <w:right w:val="single" w:color="auto" w:sz="4" w:space="0"/>
            </w:tcBorders>
            <w:vAlign w:val="center"/>
          </w:tcPr>
          <w:p w14:paraId="7AD6BE98">
            <w:pPr>
              <w:jc w:val="center"/>
              <w:rPr>
                <w:rFonts w:hint="eastAsia" w:ascii="仿宋" w:hAnsi="仿宋" w:cs="仿宋"/>
                <w:szCs w:val="21"/>
              </w:rPr>
            </w:pPr>
            <w:r>
              <w:rPr>
                <w:rFonts w:hint="eastAsia" w:ascii="仿宋" w:hAnsi="仿宋" w:cs="仿宋"/>
                <w:szCs w:val="21"/>
              </w:rPr>
              <w:t>投标文件</w:t>
            </w:r>
          </w:p>
          <w:p w14:paraId="40162548">
            <w:pPr>
              <w:tabs>
                <w:tab w:val="left" w:pos="0"/>
              </w:tabs>
              <w:spacing w:line="240" w:lineRule="exact"/>
              <w:jc w:val="center"/>
              <w:rPr>
                <w:rFonts w:hint="eastAsia" w:ascii="仿宋" w:hAnsi="仿宋" w:cs="仿宋"/>
                <w:szCs w:val="21"/>
              </w:rPr>
            </w:pPr>
            <w:r>
              <w:rPr>
                <w:rFonts w:hint="eastAsia" w:ascii="仿宋" w:hAnsi="仿宋" w:cs="仿宋"/>
                <w:szCs w:val="21"/>
              </w:rPr>
              <w:t>响应内容</w:t>
            </w:r>
          </w:p>
        </w:tc>
        <w:tc>
          <w:tcPr>
            <w:tcW w:w="0" w:type="auto"/>
            <w:tcBorders>
              <w:top w:val="single" w:color="auto" w:sz="4" w:space="0"/>
              <w:left w:val="single" w:color="auto" w:sz="4" w:space="0"/>
              <w:bottom w:val="single" w:color="auto" w:sz="4" w:space="0"/>
              <w:right w:val="single" w:color="auto" w:sz="4" w:space="0"/>
            </w:tcBorders>
            <w:vAlign w:val="center"/>
          </w:tcPr>
          <w:p w14:paraId="2AA54B3F">
            <w:pPr>
              <w:tabs>
                <w:tab w:val="left" w:pos="-75"/>
              </w:tabs>
              <w:spacing w:line="240" w:lineRule="exact"/>
              <w:ind w:right="-57" w:rightChars="-27"/>
              <w:jc w:val="center"/>
              <w:rPr>
                <w:rFonts w:hint="eastAsia" w:ascii="仿宋" w:hAnsi="仿宋" w:cs="仿宋"/>
                <w:szCs w:val="21"/>
              </w:rPr>
            </w:pPr>
            <w:r>
              <w:rPr>
                <w:rFonts w:hint="eastAsia" w:ascii="仿宋" w:hAnsi="仿宋" w:cs="仿宋"/>
                <w:szCs w:val="21"/>
              </w:rPr>
              <w:t>偏离程度</w:t>
            </w:r>
          </w:p>
        </w:tc>
        <w:tc>
          <w:tcPr>
            <w:tcW w:w="0" w:type="auto"/>
            <w:tcBorders>
              <w:top w:val="single" w:color="auto" w:sz="4" w:space="0"/>
              <w:left w:val="single" w:color="auto" w:sz="4" w:space="0"/>
              <w:bottom w:val="single" w:color="auto" w:sz="4" w:space="0"/>
              <w:right w:val="single" w:color="auto" w:sz="4" w:space="0"/>
            </w:tcBorders>
            <w:vAlign w:val="center"/>
          </w:tcPr>
          <w:p w14:paraId="3B6AA841">
            <w:pPr>
              <w:tabs>
                <w:tab w:val="left" w:pos="-75"/>
              </w:tabs>
              <w:spacing w:line="240" w:lineRule="exact"/>
              <w:ind w:right="-57" w:rightChars="-27"/>
              <w:jc w:val="center"/>
              <w:rPr>
                <w:rFonts w:hint="eastAsia" w:ascii="仿宋" w:hAnsi="仿宋" w:cs="仿宋"/>
                <w:szCs w:val="21"/>
              </w:rPr>
            </w:pPr>
            <w:r>
              <w:rPr>
                <w:rFonts w:hint="eastAsia" w:ascii="仿宋" w:hAnsi="仿宋" w:cs="仿宋"/>
                <w:szCs w:val="21"/>
              </w:rPr>
              <w:t>偏离说明</w:t>
            </w:r>
          </w:p>
        </w:tc>
        <w:tc>
          <w:tcPr>
            <w:tcW w:w="0" w:type="auto"/>
            <w:tcBorders>
              <w:top w:val="single" w:color="auto" w:sz="4" w:space="0"/>
              <w:left w:val="single" w:color="auto" w:sz="4" w:space="0"/>
              <w:bottom w:val="single" w:color="auto" w:sz="4" w:space="0"/>
              <w:right w:val="single" w:color="auto" w:sz="4" w:space="0"/>
            </w:tcBorders>
            <w:vAlign w:val="center"/>
          </w:tcPr>
          <w:p w14:paraId="61B6765C">
            <w:pPr>
              <w:tabs>
                <w:tab w:val="left" w:pos="-75"/>
              </w:tabs>
              <w:spacing w:line="240" w:lineRule="exact"/>
              <w:ind w:right="-57" w:rightChars="-27"/>
              <w:jc w:val="center"/>
              <w:rPr>
                <w:rFonts w:hint="eastAsia" w:ascii="仿宋" w:hAnsi="仿宋" w:cs="仿宋"/>
                <w:szCs w:val="21"/>
              </w:rPr>
            </w:pPr>
            <w:r>
              <w:rPr>
                <w:rFonts w:hint="eastAsia" w:ascii="仿宋" w:hAnsi="仿宋" w:cs="仿宋"/>
                <w:szCs w:val="21"/>
              </w:rPr>
              <w:t>证明资料</w:t>
            </w:r>
          </w:p>
        </w:tc>
      </w:tr>
      <w:tr w14:paraId="69A68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1" w:hRule="atLeast"/>
        </w:trPr>
        <w:tc>
          <w:tcPr>
            <w:tcW w:w="3552" w:type="dxa"/>
            <w:tcBorders>
              <w:top w:val="single" w:color="auto" w:sz="4" w:space="0"/>
              <w:left w:val="single" w:color="auto" w:sz="4" w:space="0"/>
              <w:bottom w:val="single" w:color="auto" w:sz="4" w:space="0"/>
              <w:right w:val="single" w:color="auto" w:sz="4" w:space="0"/>
            </w:tcBorders>
            <w:vAlign w:val="center"/>
          </w:tcPr>
          <w:p w14:paraId="45E04056">
            <w:pPr>
              <w:tabs>
                <w:tab w:val="left" w:pos="0"/>
              </w:tabs>
              <w:adjustRightInd w:val="0"/>
              <w:snapToGrid w:val="0"/>
              <w:spacing w:line="400" w:lineRule="exact"/>
              <w:rPr>
                <w:rFonts w:hint="eastAsia" w:ascii="仿宋" w:hAnsi="仿宋" w:cs="仿宋"/>
                <w:b/>
                <w:kern w:val="0"/>
                <w:szCs w:val="21"/>
              </w:rPr>
            </w:pPr>
            <w:r>
              <w:rPr>
                <w:rFonts w:hint="eastAsia" w:ascii="仿宋" w:hAnsi="仿宋" w:cs="仿宋"/>
                <w:b/>
                <w:kern w:val="0"/>
                <w:szCs w:val="21"/>
              </w:rPr>
              <w:t>★一、绩效评价项目概况</w:t>
            </w:r>
          </w:p>
          <w:p w14:paraId="6F27F477">
            <w:pPr>
              <w:pStyle w:val="7"/>
              <w:widowControl w:val="0"/>
              <w:snapToGrid w:val="0"/>
              <w:spacing w:before="0" w:beforeAutospacing="0" w:after="0" w:afterAutospacing="0"/>
              <w:rPr>
                <w:rFonts w:hint="eastAsia" w:ascii="仿宋" w:hAnsi="仿宋" w:eastAsia="仿宋" w:cs="仿宋"/>
                <w:kern w:val="2"/>
                <w:sz w:val="21"/>
                <w:szCs w:val="21"/>
              </w:rPr>
            </w:pPr>
            <w:r>
              <w:rPr>
                <w:rFonts w:hint="eastAsia" w:ascii="仿宋" w:hAnsi="仿宋" w:eastAsia="仿宋" w:cs="仿宋"/>
                <w:kern w:val="2"/>
                <w:sz w:val="21"/>
                <w:szCs w:val="21"/>
              </w:rPr>
              <w:t>（一）鞍山市交通运输局涉疫人员转运车辆费用和《重点物资运输通行证》印刷费项目</w:t>
            </w:r>
          </w:p>
          <w:p w14:paraId="0FB7106D">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1.项目类型：绩效评价（一般公共预算项目）</w:t>
            </w:r>
          </w:p>
          <w:p w14:paraId="31B65312">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2.主管部门：</w:t>
            </w:r>
            <w:r>
              <w:rPr>
                <w:rFonts w:hint="eastAsia" w:ascii="仿宋" w:hAnsi="仿宋" w:cs="仿宋"/>
                <w:szCs w:val="21"/>
              </w:rPr>
              <w:t>鞍山市交通运输局</w:t>
            </w:r>
            <w:r>
              <w:rPr>
                <w:rFonts w:hint="eastAsia" w:ascii="仿宋" w:hAnsi="仿宋" w:cs="仿宋"/>
                <w:bCs/>
                <w:kern w:val="0"/>
                <w:szCs w:val="21"/>
              </w:rPr>
              <w:t>。</w:t>
            </w:r>
          </w:p>
          <w:p w14:paraId="03F9FB2E">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3.预算安排金额：240.00万元。</w:t>
            </w:r>
          </w:p>
          <w:p w14:paraId="71469D3F">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4.预算安排相关政策和依据：</w:t>
            </w:r>
          </w:p>
          <w:p w14:paraId="62F0C1C8">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省防指办《关于进一步做好道路货运疫情防控和重点物资运输保障工作的紧急通知》、根据市疫情防控指挥部安排。</w:t>
            </w:r>
          </w:p>
          <w:p w14:paraId="321A4E2D">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5.绩效目标：</w:t>
            </w:r>
          </w:p>
          <w:p w14:paraId="793AEEDF">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完成疫情防控任务，重点人群的转运工作。</w:t>
            </w:r>
          </w:p>
          <w:p w14:paraId="4221D050">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交运集团组织成立台安转运突击队、健康驿站保障车队、接上海丹东内蒙等涉疫地区返鞍学生和警察车队、接送卫健委支援外省市和海台岫医务和疾控人员车队、职教城和经开区转运突击队，各级管理人员24小时调度安排，全力保障鞍山市疫情防控工作和对外支援工作。</w:t>
            </w:r>
          </w:p>
          <w:p w14:paraId="365B63B3">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重点物资运输通行证》主要用于在严密防范疫情通过道路运输环节传播扩散的同时，进一步做好疫情防控物资、鲜活农产品、重点生产生活物资、农业生产资料（化肥、农药、种子等）、能源物资、邮政快递等各类重点物资（以下简称重点物资）运输保障工作。</w:t>
            </w:r>
          </w:p>
          <w:p w14:paraId="080BF624">
            <w:pPr>
              <w:pStyle w:val="7"/>
              <w:widowControl w:val="0"/>
              <w:snapToGrid w:val="0"/>
              <w:spacing w:before="0" w:beforeAutospacing="0" w:after="0" w:afterAutospacing="0"/>
              <w:rPr>
                <w:rFonts w:hint="eastAsia" w:ascii="仿宋" w:hAnsi="仿宋" w:eastAsia="仿宋" w:cs="仿宋"/>
                <w:kern w:val="2"/>
                <w:sz w:val="21"/>
                <w:szCs w:val="21"/>
              </w:rPr>
            </w:pPr>
            <w:r>
              <w:rPr>
                <w:rFonts w:hint="eastAsia" w:ascii="仿宋" w:hAnsi="仿宋" w:eastAsia="仿宋" w:cs="仿宋"/>
                <w:kern w:val="2"/>
                <w:sz w:val="21"/>
                <w:szCs w:val="21"/>
              </w:rPr>
              <w:t>（二）鞍山市乡村振兴局全口径贷款贴息资金项目。</w:t>
            </w:r>
          </w:p>
          <w:p w14:paraId="6BE19F41">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1.项目类型：绩效评价（一般公共预算项目）</w:t>
            </w:r>
          </w:p>
          <w:p w14:paraId="3C4C8A38">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2.主管部门：鞍山市乡村振兴局。</w:t>
            </w:r>
          </w:p>
          <w:p w14:paraId="33BA6535">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3.预算安排金额：813.28万元。</w:t>
            </w:r>
          </w:p>
          <w:p w14:paraId="1BAD50E6">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4.预算安排相关政策和依据：</w:t>
            </w:r>
          </w:p>
          <w:p w14:paraId="47B0D382">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《鞍山市实现巩固拓展脱</w:t>
            </w:r>
            <w:r>
              <w:rPr>
                <w:rFonts w:hint="eastAsia" w:ascii="仿宋" w:hAnsi="仿宋" w:cs="仿宋"/>
                <w:bCs/>
                <w:kern w:val="0"/>
                <w:szCs w:val="21"/>
                <w:lang w:eastAsia="zh-CN"/>
              </w:rPr>
              <w:t>贫</w:t>
            </w:r>
            <w:bookmarkStart w:id="10" w:name="_GoBack"/>
            <w:bookmarkEnd w:id="10"/>
            <w:r>
              <w:rPr>
                <w:rFonts w:hint="eastAsia" w:ascii="仿宋" w:hAnsi="仿宋" w:cs="仿宋"/>
                <w:bCs/>
                <w:kern w:val="0"/>
                <w:szCs w:val="21"/>
              </w:rPr>
              <w:t>攻坚成果同乡村振兴有效衔接的实施方来》(鞍委办发[2021]34号)。</w:t>
            </w:r>
          </w:p>
          <w:p w14:paraId="1D3E8477">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5.绩效目标：</w:t>
            </w:r>
          </w:p>
          <w:p w14:paraId="11A45F63">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稳定金融扶持政策，保证已脱贫户稳定脱贫，不返贫，减轻企业的负担。脱贫户、边缘易致贫户小额贷款由市本级负责全额贴息；民营企业和新型农业经营主体扶贫再贷款在展期内，由市本级按照同期同档次基础利率予以贴息。</w:t>
            </w:r>
          </w:p>
          <w:p w14:paraId="55306337">
            <w:pPr>
              <w:tabs>
                <w:tab w:val="left" w:pos="0"/>
              </w:tabs>
              <w:adjustRightInd w:val="0"/>
              <w:snapToGrid w:val="0"/>
              <w:spacing w:line="400" w:lineRule="exact"/>
              <w:rPr>
                <w:rFonts w:hint="eastAsia" w:ascii="仿宋" w:hAnsi="仿宋" w:cs="仿宋"/>
                <w:b/>
                <w:kern w:val="0"/>
                <w:szCs w:val="21"/>
              </w:rPr>
            </w:pPr>
            <w:r>
              <w:rPr>
                <w:rFonts w:hint="eastAsia" w:ascii="仿宋" w:hAnsi="仿宋" w:cs="仿宋"/>
                <w:b/>
                <w:kern w:val="0"/>
                <w:szCs w:val="21"/>
              </w:rPr>
              <w:t>★二、绩效评价项目服务内容</w:t>
            </w:r>
          </w:p>
          <w:p w14:paraId="10AFFAEF">
            <w:pPr>
              <w:spacing w:line="400" w:lineRule="exact"/>
              <w:ind w:hanging="1"/>
              <w:rPr>
                <w:rFonts w:hint="eastAsia" w:ascii="仿宋" w:hAnsi="仿宋" w:cs="仿宋"/>
                <w:szCs w:val="21"/>
              </w:rPr>
            </w:pPr>
            <w:r>
              <w:rPr>
                <w:rFonts w:hint="eastAsia" w:ascii="仿宋" w:hAnsi="仿宋" w:cs="仿宋"/>
                <w:szCs w:val="21"/>
              </w:rPr>
              <w:t>（一）制定绩效评价方案。</w:t>
            </w:r>
          </w:p>
          <w:p w14:paraId="7A0E030E">
            <w:pPr>
              <w:pStyle w:val="7"/>
              <w:widowControl w:val="0"/>
              <w:snapToGrid w:val="0"/>
              <w:spacing w:before="0" w:beforeAutospacing="0" w:after="0" w:afterAutospacing="0"/>
              <w:rPr>
                <w:rFonts w:hint="eastAsia" w:ascii="仿宋" w:hAnsi="仿宋" w:eastAsia="仿宋" w:cs="仿宋"/>
                <w:kern w:val="2"/>
                <w:sz w:val="21"/>
                <w:szCs w:val="21"/>
              </w:rPr>
            </w:pPr>
            <w:r>
              <w:rPr>
                <w:rFonts w:hint="eastAsia" w:ascii="仿宋" w:hAnsi="仿宋" w:eastAsia="仿宋" w:cs="仿宋"/>
                <w:kern w:val="2"/>
                <w:sz w:val="21"/>
                <w:szCs w:val="21"/>
              </w:rPr>
              <w:t xml:space="preserve">方案达到要求后，方可进入下一步工作程序。方案应结合项目特点和属性，具体要做到： </w:t>
            </w:r>
          </w:p>
          <w:p w14:paraId="2731BD88">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方案的结构与内容。主要包括绩效评价思路、绩效评价方法、绩效评价指标体系、评价工作的组织与实施、满意度调查计划等要素。 </w:t>
            </w:r>
          </w:p>
          <w:p w14:paraId="23062FF1">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（1）绩效评价思路包括绩效评价目的和依据、绩效评价对象和内容； </w:t>
            </w:r>
          </w:p>
          <w:p w14:paraId="7BEA38EE">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（2）绩效评价方法是指为实现评价目的，在绩效评价工作中所采用的评价方法； </w:t>
            </w:r>
          </w:p>
          <w:p w14:paraId="15C09254">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（3）绩效评价指标体系包括评价指标、指标解释、权重、评价标准、得分依据等，指标应对照项目类型和项目实施方案等制度文件进行细化，要充分反应项目内容； </w:t>
            </w:r>
          </w:p>
          <w:p w14:paraId="6A504847">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（4）评价工作的组织与实施包括时间节点及工作计划、人员分工及职责； </w:t>
            </w:r>
          </w:p>
          <w:p w14:paraId="63B01735">
            <w:pPr>
              <w:pStyle w:val="7"/>
              <w:widowControl w:val="0"/>
              <w:snapToGrid w:val="0"/>
              <w:spacing w:before="0" w:beforeAutospacing="0" w:after="0" w:afterAutospacing="0"/>
              <w:ind w:firstLine="420" w:firstLineChars="200"/>
              <w:rPr>
                <w:rFonts w:hint="eastAsia" w:ascii="仿宋" w:hAnsi="仿宋" w:eastAsia="仿宋" w:cs="仿宋"/>
                <w:sz w:val="21"/>
                <w:szCs w:val="21"/>
              </w:rPr>
            </w:pPr>
            <w:r>
              <w:rPr>
                <w:rFonts w:hint="eastAsia" w:ascii="仿宋" w:hAnsi="仿宋" w:eastAsia="仿宋" w:cs="仿宋"/>
                <w:kern w:val="2"/>
                <w:sz w:val="21"/>
                <w:szCs w:val="21"/>
              </w:rPr>
              <w:t xml:space="preserve">（5）满意度调查计划，说明调查对象、调查方法、设计调查问卷、抽样方法、收集整理等。 </w:t>
            </w:r>
          </w:p>
          <w:p w14:paraId="6EE9A49F">
            <w:pPr>
              <w:spacing w:line="400" w:lineRule="exact"/>
              <w:ind w:hanging="1"/>
              <w:rPr>
                <w:rFonts w:hint="eastAsia" w:ascii="仿宋" w:hAnsi="仿宋" w:cs="仿宋"/>
                <w:szCs w:val="21"/>
              </w:rPr>
            </w:pPr>
            <w:r>
              <w:rPr>
                <w:rFonts w:hint="eastAsia" w:ascii="仿宋" w:hAnsi="仿宋" w:cs="仿宋"/>
                <w:szCs w:val="21"/>
              </w:rPr>
              <w:t>（二）设计绩效评价指标体系，包含共性指标、个性指标及相关指标说明。其中，针对项目特点在评价指标框架体系下制定的个性指标应不少于15个。</w:t>
            </w:r>
          </w:p>
          <w:p w14:paraId="1A645476">
            <w:pPr>
              <w:spacing w:line="400" w:lineRule="exact"/>
              <w:ind w:hanging="1"/>
              <w:rPr>
                <w:rFonts w:hint="eastAsia" w:ascii="仿宋" w:hAnsi="仿宋" w:cs="仿宋"/>
                <w:szCs w:val="21"/>
              </w:rPr>
            </w:pPr>
            <w:r>
              <w:rPr>
                <w:rFonts w:hint="eastAsia" w:ascii="仿宋" w:hAnsi="仿宋" w:cs="仿宋"/>
                <w:szCs w:val="21"/>
              </w:rPr>
              <w:t>（三）制定证据收集计划。</w:t>
            </w:r>
          </w:p>
          <w:p w14:paraId="70302CE4">
            <w:pPr>
              <w:spacing w:line="400" w:lineRule="exact"/>
              <w:ind w:hanging="1"/>
              <w:rPr>
                <w:rFonts w:hint="eastAsia" w:ascii="仿宋" w:hAnsi="仿宋" w:cs="仿宋"/>
                <w:szCs w:val="21"/>
              </w:rPr>
            </w:pPr>
            <w:r>
              <w:rPr>
                <w:rFonts w:hint="eastAsia" w:ascii="仿宋" w:hAnsi="仿宋" w:cs="仿宋"/>
                <w:szCs w:val="21"/>
              </w:rPr>
              <w:t>（四）实施评价，包括：案卷研究、现场评价、面访等。</w:t>
            </w:r>
          </w:p>
          <w:p w14:paraId="4329F6D5">
            <w:pPr>
              <w:pStyle w:val="3"/>
              <w:rPr>
                <w:rFonts w:hint="eastAsia" w:ascii="仿宋" w:hAnsi="仿宋" w:cs="仿宋"/>
                <w:szCs w:val="21"/>
              </w:rPr>
            </w:pPr>
            <w:r>
              <w:rPr>
                <w:rFonts w:hint="eastAsia" w:ascii="仿宋" w:hAnsi="仿宋" w:cs="仿宋"/>
                <w:szCs w:val="21"/>
              </w:rPr>
              <w:t>绩效评价需符合财政部财预【2021】6号《财政部关于委托第三方机构参与预算绩效管理的指导意见》、辽宁省财政厅辽财绩【2019】350号《关于印发辽宁省省级预算绩效管理实施细则（试行）的通知》、中共鞍山市委鞍委发【2021】1号《中共鞍山市委、鞍山市人民政府关于全面实施预算绩效管理的实施意见》等相关文件的有关规定。</w:t>
            </w:r>
          </w:p>
          <w:p w14:paraId="30E222AD">
            <w:pPr>
              <w:pStyle w:val="3"/>
              <w:rPr>
                <w:rFonts w:hint="eastAsia" w:ascii="仿宋" w:hAnsi="仿宋" w:cs="仿宋"/>
                <w:szCs w:val="21"/>
              </w:rPr>
            </w:pPr>
            <w:r>
              <w:rPr>
                <w:rFonts w:hint="eastAsia" w:ascii="仿宋" w:hAnsi="仿宋" w:cs="仿宋"/>
                <w:szCs w:val="21"/>
              </w:rPr>
              <w:t xml:space="preserve">现场核查：为保证报告质量，现场核查次数需与采购人协商确定，现场核查项目覆盖率原则上应达到100%，如项目点位过多可与采购人商定，但最低不得低于30%。每项资金所涉及的具体项目均需进行现场核查及案卷分析。每次进场需填写《进场确认单》。 </w:t>
            </w:r>
          </w:p>
          <w:p w14:paraId="6DC6D5B3">
            <w:pPr>
              <w:spacing w:line="400" w:lineRule="exact"/>
              <w:ind w:hanging="1"/>
              <w:rPr>
                <w:rFonts w:hint="eastAsia" w:ascii="仿宋" w:hAnsi="仿宋" w:cs="仿宋"/>
                <w:szCs w:val="21"/>
              </w:rPr>
            </w:pPr>
            <w:r>
              <w:rPr>
                <w:rFonts w:hint="eastAsia" w:ascii="仿宋" w:hAnsi="仿宋" w:cs="仿宋"/>
                <w:szCs w:val="21"/>
              </w:rPr>
              <w:t>（五）综合分析并形成评价结论。</w:t>
            </w:r>
          </w:p>
          <w:p w14:paraId="0DA2E5A0">
            <w:pPr>
              <w:pStyle w:val="3"/>
              <w:rPr>
                <w:rFonts w:hint="eastAsia" w:ascii="仿宋" w:hAnsi="仿宋" w:cs="仿宋"/>
                <w:szCs w:val="21"/>
              </w:rPr>
            </w:pPr>
            <w:r>
              <w:rPr>
                <w:rFonts w:hint="eastAsia" w:ascii="仿宋" w:hAnsi="仿宋" w:cs="仿宋"/>
                <w:szCs w:val="21"/>
              </w:rPr>
              <w:t xml:space="preserve">供应商要按照评价对象的分类分组，经充分分析论证，采用察访核验、案卷研究、问卷调查、访谈、座谈会等综合评价方法，完成数据收集工作，整合评价基本情况、评价数据，深入挖掘问题原因，提出意见建议，形成评价结论。 </w:t>
            </w:r>
          </w:p>
          <w:p w14:paraId="49D8D1DD">
            <w:pPr>
              <w:pStyle w:val="3"/>
              <w:rPr>
                <w:rFonts w:hint="eastAsia" w:ascii="仿宋" w:hAnsi="仿宋" w:cs="仿宋"/>
                <w:szCs w:val="21"/>
              </w:rPr>
            </w:pPr>
            <w:r>
              <w:rPr>
                <w:rFonts w:hint="eastAsia" w:ascii="仿宋" w:hAnsi="仿宋" w:cs="仿宋"/>
                <w:szCs w:val="21"/>
              </w:rPr>
              <w:t>（六）对项目原有的绩效目标和指标进行完善，并提出为项目新设定的可用于申报下一年部门预算的绩效目标和指标。</w:t>
            </w:r>
          </w:p>
          <w:p w14:paraId="24BDB98D">
            <w:pPr>
              <w:pStyle w:val="3"/>
              <w:rPr>
                <w:rFonts w:hint="eastAsia" w:ascii="仿宋" w:hAnsi="仿宋" w:cs="仿宋"/>
                <w:szCs w:val="21"/>
              </w:rPr>
            </w:pPr>
            <w:r>
              <w:rPr>
                <w:rFonts w:hint="eastAsia" w:ascii="仿宋" w:hAnsi="仿宋" w:cs="仿宋"/>
                <w:szCs w:val="21"/>
              </w:rPr>
              <w:t>（七）撰写并提交绩效评价报告。</w:t>
            </w:r>
          </w:p>
          <w:p w14:paraId="7C07F2BE">
            <w:pPr>
              <w:pStyle w:val="3"/>
              <w:rPr>
                <w:rFonts w:hint="eastAsia" w:ascii="仿宋" w:hAnsi="仿宋" w:cs="仿宋"/>
                <w:szCs w:val="21"/>
              </w:rPr>
            </w:pPr>
            <w:r>
              <w:rPr>
                <w:rFonts w:hint="eastAsia" w:ascii="仿宋" w:hAnsi="仿宋" w:cs="仿宋"/>
                <w:szCs w:val="21"/>
              </w:rPr>
              <w:t xml:space="preserve">编写《××评价报告（初稿）》，报采购人及被评价部门进行初验。初验通过后，由供应商组织召开专家评审会实施深层次论证，结合采购人、专家组及被评价部门相关意见和建议，进一步修改完善报告内容后，提交正式报告。每个项目出具一份评价报告。绩效评价报告中的数据、内容要真实准确，揭示问题要事实清楚、证据确凿、定性准确。供应商对出具的绩效评价报告真实性、准确性负责。 </w:t>
            </w:r>
          </w:p>
          <w:p w14:paraId="20973334">
            <w:pPr>
              <w:pStyle w:val="7"/>
              <w:widowControl w:val="0"/>
              <w:snapToGrid w:val="0"/>
              <w:spacing w:before="0" w:beforeAutospacing="0" w:after="0" w:afterAutospacing="0"/>
              <w:rPr>
                <w:rFonts w:hint="eastAsia" w:ascii="仿宋" w:hAnsi="仿宋" w:eastAsia="仿宋" w:cs="仿宋"/>
                <w:kern w:val="2"/>
                <w:sz w:val="21"/>
                <w:szCs w:val="21"/>
              </w:rPr>
            </w:pPr>
            <w:r>
              <w:rPr>
                <w:rFonts w:hint="eastAsia" w:ascii="仿宋" w:hAnsi="仿宋" w:eastAsia="仿宋" w:cs="仿宋"/>
                <w:kern w:val="2"/>
                <w:sz w:val="21"/>
                <w:szCs w:val="21"/>
              </w:rPr>
              <w:t xml:space="preserve">报告应包含但不限于以下内容： </w:t>
            </w:r>
          </w:p>
          <w:p w14:paraId="4BE0D2C2">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1、基本情况 </w:t>
            </w:r>
          </w:p>
          <w:p w14:paraId="0A0C5B94">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项目概况。包括项目背景、主要内容及实施情况、资金投入和使用情况等。 </w:t>
            </w:r>
          </w:p>
          <w:p w14:paraId="34FC7B3B">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项目绩效目标。包括总体目标和阶段性目标。 </w:t>
            </w:r>
          </w:p>
          <w:p w14:paraId="1EE4156B">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2、绩效评价工作开展情况 </w:t>
            </w:r>
          </w:p>
          <w:p w14:paraId="4A864358">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绩效评价目的、对象和范围。 </w:t>
            </w:r>
          </w:p>
          <w:p w14:paraId="772162A8">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绩效评价原则、评价指标体系（附表说明）、评价方法、评价标准等。 </w:t>
            </w:r>
          </w:p>
          <w:p w14:paraId="1419A329">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绩效评价工作过程。 </w:t>
            </w:r>
          </w:p>
          <w:p w14:paraId="74103B0D">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3、综合评价情况及评价结论（附相关评分表） </w:t>
            </w:r>
          </w:p>
          <w:p w14:paraId="1239F78C">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4、绩效评价指标分析 </w:t>
            </w:r>
          </w:p>
          <w:p w14:paraId="184767BC">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项目决策情况。 </w:t>
            </w:r>
          </w:p>
          <w:p w14:paraId="77D5DC7E">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项目过程情况。 </w:t>
            </w:r>
          </w:p>
          <w:p w14:paraId="7AB075B3">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项目产出情况。 </w:t>
            </w:r>
          </w:p>
          <w:p w14:paraId="35123874">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项目效益情况。 </w:t>
            </w:r>
          </w:p>
          <w:p w14:paraId="0BFA6145">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5、主要经验及做法、存在的问题及原因分析 </w:t>
            </w:r>
          </w:p>
          <w:p w14:paraId="0E5B8FB9">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6、评价结果应用建议 </w:t>
            </w:r>
          </w:p>
          <w:p w14:paraId="5C3785F4">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 xml:space="preserve">提出财政评价结果应用建议，将财政评价结果作为安排政府预算、完善政策和改进管理的重要依据。 </w:t>
            </w:r>
          </w:p>
          <w:p w14:paraId="2B52BDB6">
            <w:pPr>
              <w:pStyle w:val="7"/>
              <w:widowControl w:val="0"/>
              <w:snapToGrid w:val="0"/>
              <w:spacing w:before="0" w:beforeAutospacing="0" w:after="0" w:afterAutospacing="0"/>
              <w:ind w:firstLine="420" w:firstLineChars="200"/>
              <w:rPr>
                <w:rFonts w:hint="eastAsia" w:ascii="仿宋" w:hAnsi="仿宋" w:eastAsia="仿宋" w:cs="仿宋"/>
                <w:sz w:val="21"/>
                <w:szCs w:val="21"/>
              </w:rPr>
            </w:pPr>
            <w:r>
              <w:rPr>
                <w:rFonts w:hint="eastAsia" w:ascii="仿宋" w:hAnsi="仿宋" w:eastAsia="仿宋" w:cs="仿宋"/>
                <w:kern w:val="2"/>
                <w:sz w:val="21"/>
                <w:szCs w:val="21"/>
              </w:rPr>
              <w:t xml:space="preserve">7、其他需要说明的问题 </w:t>
            </w:r>
          </w:p>
          <w:p w14:paraId="47AFB940">
            <w:pPr>
              <w:pStyle w:val="7"/>
              <w:widowControl w:val="0"/>
              <w:snapToGrid w:val="0"/>
              <w:spacing w:before="0" w:beforeAutospacing="0" w:after="0" w:afterAutospacing="0"/>
              <w:rPr>
                <w:rFonts w:hint="eastAsia" w:ascii="仿宋" w:hAnsi="仿宋" w:eastAsia="仿宋" w:cs="仿宋"/>
                <w:kern w:val="2"/>
                <w:sz w:val="21"/>
                <w:szCs w:val="21"/>
              </w:rPr>
            </w:pPr>
            <w:r>
              <w:rPr>
                <w:rFonts w:hint="eastAsia" w:ascii="仿宋" w:hAnsi="仿宋" w:eastAsia="仿宋" w:cs="仿宋"/>
                <w:kern w:val="2"/>
                <w:sz w:val="21"/>
                <w:szCs w:val="21"/>
              </w:rPr>
              <w:t xml:space="preserve">（八）其他 </w:t>
            </w:r>
          </w:p>
          <w:p w14:paraId="172D032B">
            <w:pPr>
              <w:pStyle w:val="7"/>
              <w:widowControl w:val="0"/>
              <w:snapToGrid w:val="0"/>
              <w:spacing w:before="0" w:beforeAutospacing="0" w:after="0" w:afterAutospacing="0"/>
              <w:rPr>
                <w:rFonts w:hint="eastAsia" w:ascii="仿宋" w:hAnsi="仿宋" w:eastAsia="仿宋" w:cs="仿宋"/>
                <w:kern w:val="2"/>
                <w:sz w:val="21"/>
                <w:szCs w:val="21"/>
              </w:rPr>
            </w:pPr>
            <w:r>
              <w:rPr>
                <w:rFonts w:hint="eastAsia" w:ascii="仿宋" w:hAnsi="仿宋" w:eastAsia="仿宋" w:cs="仿宋"/>
                <w:kern w:val="2"/>
                <w:sz w:val="21"/>
                <w:szCs w:val="21"/>
              </w:rPr>
              <w:t xml:space="preserve">建立不定期沟通制度，重大问题需及时请示报告。 </w:t>
            </w:r>
          </w:p>
          <w:p w14:paraId="2F0517D3">
            <w:pPr>
              <w:pStyle w:val="7"/>
              <w:widowControl w:val="0"/>
              <w:snapToGrid w:val="0"/>
              <w:spacing w:before="0" w:beforeAutospacing="0" w:after="0" w:afterAutospacing="0"/>
              <w:rPr>
                <w:rFonts w:hint="eastAsia" w:ascii="仿宋" w:hAnsi="仿宋" w:eastAsia="仿宋" w:cs="仿宋"/>
                <w:kern w:val="2"/>
                <w:sz w:val="21"/>
                <w:szCs w:val="21"/>
              </w:rPr>
            </w:pPr>
            <w:r>
              <w:rPr>
                <w:rFonts w:hint="eastAsia" w:ascii="仿宋" w:hAnsi="仿宋" w:eastAsia="仿宋" w:cs="仿宋"/>
                <w:kern w:val="2"/>
                <w:sz w:val="21"/>
                <w:szCs w:val="21"/>
              </w:rPr>
              <w:t xml:space="preserve">建立绩效工作档案管理制度，及时对受托业务资料进行收集、整理、造册，建档管理。供应商应将保管的预算绩效管理档案材料目录报委托方。采购人有权调阅、查询和复制所委托项目评价档案资料。成果印刷应符合甲方要求。 </w:t>
            </w:r>
          </w:p>
          <w:p w14:paraId="51223518">
            <w:pPr>
              <w:pStyle w:val="7"/>
              <w:widowControl w:val="0"/>
              <w:snapToGrid w:val="0"/>
              <w:spacing w:before="0" w:beforeAutospacing="0" w:after="0" w:afterAutospacing="0"/>
              <w:rPr>
                <w:rFonts w:hint="eastAsia" w:ascii="仿宋" w:hAnsi="仿宋" w:eastAsia="仿宋" w:cs="仿宋"/>
                <w:kern w:val="2"/>
                <w:sz w:val="21"/>
                <w:szCs w:val="21"/>
              </w:rPr>
            </w:pPr>
            <w:r>
              <w:rPr>
                <w:rFonts w:hint="eastAsia" w:ascii="仿宋" w:hAnsi="仿宋" w:eastAsia="仿宋" w:cs="仿宋"/>
                <w:kern w:val="2"/>
                <w:sz w:val="21"/>
                <w:szCs w:val="21"/>
              </w:rPr>
              <w:t xml:space="preserve">供应商对被评价单位内部资料及相关信息予以保密，不得向外泄露。 </w:t>
            </w:r>
          </w:p>
          <w:p w14:paraId="06549DED">
            <w:pPr>
              <w:pStyle w:val="7"/>
              <w:widowControl w:val="0"/>
              <w:snapToGrid w:val="0"/>
              <w:spacing w:before="0" w:beforeAutospacing="0" w:after="0" w:afterAutospacing="0"/>
              <w:rPr>
                <w:rFonts w:hint="eastAsia" w:ascii="仿宋" w:hAnsi="仿宋" w:eastAsia="仿宋" w:cs="仿宋"/>
                <w:kern w:val="2"/>
                <w:sz w:val="21"/>
                <w:szCs w:val="21"/>
              </w:rPr>
            </w:pPr>
            <w:r>
              <w:rPr>
                <w:rFonts w:hint="eastAsia" w:ascii="仿宋" w:hAnsi="仿宋" w:eastAsia="仿宋" w:cs="仿宋"/>
                <w:kern w:val="2"/>
                <w:sz w:val="21"/>
                <w:szCs w:val="21"/>
              </w:rPr>
              <w:t xml:space="preserve">供应商选派的人员（包括绩效评价工作组成员及专家组成员）要遵守检查工作纪律，服从安排，不得违反有关廉洁纪律规定。 </w:t>
            </w:r>
          </w:p>
          <w:p w14:paraId="18C7F392">
            <w:pPr>
              <w:pStyle w:val="7"/>
              <w:widowControl w:val="0"/>
              <w:snapToGrid w:val="0"/>
              <w:spacing w:before="0" w:beforeAutospacing="0" w:after="0" w:afterAutospacing="0"/>
              <w:rPr>
                <w:rFonts w:hint="eastAsia" w:ascii="仿宋" w:hAnsi="仿宋" w:eastAsia="仿宋" w:cs="仿宋"/>
                <w:kern w:val="2"/>
                <w:sz w:val="21"/>
                <w:szCs w:val="21"/>
              </w:rPr>
            </w:pPr>
            <w:r>
              <w:rPr>
                <w:rFonts w:hint="eastAsia" w:ascii="仿宋" w:hAnsi="仿宋" w:eastAsia="仿宋" w:cs="仿宋"/>
                <w:kern w:val="2"/>
                <w:sz w:val="21"/>
                <w:szCs w:val="21"/>
              </w:rPr>
              <w:t>采购人将对项目评审全过程工作情况进行质量评估和工作验收，若发现会计师事务所在绩效评价过程中有下列行为之一的，采购人将视情节轻重依据国家法律法规要求其承担相关责任，并视具体情况扣减部分或拒付全部委托评价费用：</w:t>
            </w:r>
          </w:p>
          <w:p w14:paraId="6BE26D7A">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（1）未按委托协议规定时间完成绩效评价工作的；</w:t>
            </w:r>
          </w:p>
          <w:p w14:paraId="49A70005">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（2）应该主动回避而未向组织评价机构提出的；</w:t>
            </w:r>
          </w:p>
          <w:p w14:paraId="7C2AD6F5">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（3）未按照绩效评价有关规定和委托协议要求开展绩效评价工作的；</w:t>
            </w:r>
          </w:p>
          <w:p w14:paraId="77BF6241">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（4）出具的绩效评价报告没有做到客观、公正、真实、准确，违背行业规范和职业道德的；</w:t>
            </w:r>
          </w:p>
          <w:p w14:paraId="3775886D">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（5）未经组织评价机构同意，对外泄露被评价对象绩效评价的相关资料和有关情况，造成不良影响或损失的；</w:t>
            </w:r>
          </w:p>
          <w:p w14:paraId="2FFE9BD9">
            <w:pPr>
              <w:pStyle w:val="7"/>
              <w:widowControl w:val="0"/>
              <w:snapToGrid w:val="0"/>
              <w:spacing w:before="0" w:beforeAutospacing="0" w:after="0" w:afterAutospacing="0"/>
              <w:ind w:firstLine="420" w:firstLineChars="200"/>
              <w:rPr>
                <w:rFonts w:hint="eastAsia" w:ascii="仿宋" w:hAnsi="仿宋" w:eastAsia="仿宋" w:cs="仿宋"/>
                <w:kern w:val="2"/>
                <w:sz w:val="21"/>
                <w:szCs w:val="21"/>
              </w:rPr>
            </w:pPr>
            <w:r>
              <w:rPr>
                <w:rFonts w:hint="eastAsia" w:ascii="仿宋" w:hAnsi="仿宋" w:eastAsia="仿宋" w:cs="仿宋"/>
                <w:kern w:val="2"/>
                <w:sz w:val="21"/>
                <w:szCs w:val="21"/>
              </w:rPr>
              <w:t>（6）利用绩效评价谋取不正当利益的；</w:t>
            </w:r>
          </w:p>
          <w:p w14:paraId="3EDAAF2E">
            <w:pPr>
              <w:pStyle w:val="7"/>
              <w:widowControl w:val="0"/>
              <w:snapToGrid w:val="0"/>
              <w:spacing w:before="0" w:beforeAutospacing="0" w:after="0" w:afterAutospacing="0"/>
              <w:ind w:firstLine="420" w:firstLineChars="200"/>
              <w:rPr>
                <w:rFonts w:hint="eastAsia" w:ascii="仿宋" w:hAnsi="仿宋" w:eastAsia="仿宋" w:cs="仿宋"/>
                <w:sz w:val="21"/>
                <w:szCs w:val="21"/>
              </w:rPr>
            </w:pPr>
            <w:r>
              <w:rPr>
                <w:rFonts w:hint="eastAsia" w:ascii="仿宋" w:hAnsi="仿宋" w:eastAsia="仿宋" w:cs="仿宋"/>
                <w:kern w:val="2"/>
                <w:sz w:val="21"/>
                <w:szCs w:val="21"/>
              </w:rPr>
              <w:t xml:space="preserve">（7）违反法律、法规、规章的其他行为。                </w:t>
            </w:r>
            <w:r>
              <w:rPr>
                <w:rFonts w:hint="eastAsia" w:ascii="仿宋" w:hAnsi="仿宋" w:eastAsia="仿宋" w:cs="仿宋"/>
                <w:color w:val="548DD4"/>
                <w:kern w:val="2"/>
                <w:sz w:val="21"/>
                <w:szCs w:val="21"/>
              </w:rPr>
              <w:t xml:space="preserve">                      </w:t>
            </w:r>
          </w:p>
        </w:tc>
        <w:tc>
          <w:tcPr>
            <w:tcW w:w="3552" w:type="dxa"/>
            <w:tcBorders>
              <w:top w:val="single" w:color="auto" w:sz="4" w:space="0"/>
              <w:left w:val="single" w:color="auto" w:sz="4" w:space="0"/>
              <w:bottom w:val="single" w:color="auto" w:sz="4" w:space="0"/>
              <w:right w:val="single" w:color="auto" w:sz="4" w:space="0"/>
            </w:tcBorders>
            <w:vAlign w:val="center"/>
          </w:tcPr>
          <w:p w14:paraId="25AF771B">
            <w:pPr>
              <w:tabs>
                <w:tab w:val="left" w:pos="0"/>
              </w:tabs>
              <w:adjustRightInd w:val="0"/>
              <w:snapToGrid w:val="0"/>
              <w:spacing w:line="400" w:lineRule="exact"/>
              <w:rPr>
                <w:rFonts w:hint="eastAsia" w:ascii="仿宋" w:hAnsi="仿宋" w:cs="仿宋"/>
                <w:b/>
                <w:kern w:val="0"/>
                <w:szCs w:val="21"/>
              </w:rPr>
            </w:pPr>
            <w:r>
              <w:rPr>
                <w:rFonts w:hint="eastAsia" w:ascii="仿宋" w:hAnsi="仿宋" w:cs="仿宋"/>
                <w:b/>
                <w:kern w:val="0"/>
                <w:szCs w:val="21"/>
              </w:rPr>
              <w:t>★一、绩效评价项目概况</w:t>
            </w:r>
          </w:p>
          <w:p w14:paraId="076BAA37">
            <w:pPr>
              <w:snapToGrid w:val="0"/>
              <w:jc w:val="left"/>
              <w:rPr>
                <w:rFonts w:hint="eastAsia" w:ascii="仿宋" w:hAnsi="仿宋" w:cs="仿宋"/>
                <w:szCs w:val="21"/>
              </w:rPr>
            </w:pPr>
            <w:r>
              <w:rPr>
                <w:rFonts w:hint="eastAsia" w:ascii="仿宋" w:hAnsi="仿宋" w:cs="仿宋"/>
                <w:szCs w:val="21"/>
              </w:rPr>
              <w:t>（一）鞍山市交通运输局涉疫人员转运车辆费用和《重点物资运输通行证》印刷费项目</w:t>
            </w:r>
          </w:p>
          <w:p w14:paraId="0DB5155A">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1.项目类型：绩效评价（一般公共预算项目）</w:t>
            </w:r>
          </w:p>
          <w:p w14:paraId="78EEECDF">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2.主管部门：</w:t>
            </w:r>
            <w:r>
              <w:rPr>
                <w:rFonts w:hint="eastAsia" w:ascii="仿宋" w:hAnsi="仿宋" w:cs="仿宋"/>
                <w:szCs w:val="21"/>
              </w:rPr>
              <w:t>鞍山市交通运输局</w:t>
            </w:r>
            <w:r>
              <w:rPr>
                <w:rFonts w:hint="eastAsia" w:ascii="仿宋" w:hAnsi="仿宋" w:cs="仿宋"/>
                <w:bCs/>
                <w:kern w:val="0"/>
                <w:szCs w:val="21"/>
              </w:rPr>
              <w:t>。</w:t>
            </w:r>
          </w:p>
          <w:p w14:paraId="67291DDF">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3.预算安排金额：240.00万元。</w:t>
            </w:r>
          </w:p>
          <w:p w14:paraId="7608055D">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4.预算安排相关政策和依据：</w:t>
            </w:r>
          </w:p>
          <w:p w14:paraId="3DF407FF">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省防指办《关于进一步做好道路货运疫情防控和重点物资运输保障工作的紧急通知》、根据市疫情防控指挥部安排。</w:t>
            </w:r>
          </w:p>
          <w:p w14:paraId="0C1B5439">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5.绩效目标：</w:t>
            </w:r>
          </w:p>
          <w:p w14:paraId="6B2D2464">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完成疫情防控任务，重点人群的转运工作。</w:t>
            </w:r>
          </w:p>
          <w:p w14:paraId="72E85FD9">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交运集团组织成立台安转运突击队、健康驿站保障车队、接上海丹东内蒙等涉疫地区返鞍学生和警察车队、接送卫健委支援外省市和海台岫医务和疾控人员车队、职教城和经开区转运突击队，各级管理人员24小时调度安排，全力保障鞍山市疫情防控工作和对外支援工作。</w:t>
            </w:r>
          </w:p>
          <w:p w14:paraId="3B003622">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重点物资运输通行证》主要用于在严密防范疫情通过道路运输环节传播扩散的同时，进一步做好疫情防控物资、鲜活农产品、重点生产生活物资、农业生产资料（化肥、农药、种子等）、能源物资、邮政快递等各类重点物资（以下简称重点物资）运输保障工作。</w:t>
            </w:r>
          </w:p>
          <w:p w14:paraId="7F442236">
            <w:pPr>
              <w:snapToGrid w:val="0"/>
              <w:jc w:val="left"/>
              <w:rPr>
                <w:rFonts w:hint="eastAsia" w:ascii="仿宋" w:hAnsi="仿宋" w:cs="仿宋"/>
                <w:szCs w:val="21"/>
              </w:rPr>
            </w:pPr>
            <w:r>
              <w:rPr>
                <w:rFonts w:hint="eastAsia" w:ascii="仿宋" w:hAnsi="仿宋" w:cs="仿宋"/>
                <w:szCs w:val="21"/>
              </w:rPr>
              <w:t>（二）鞍山市乡村振兴局全口径贷款贴息资金项目。</w:t>
            </w:r>
          </w:p>
          <w:p w14:paraId="45D4C6DE">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1.项目类型：绩效评价（一般公共预算项目）</w:t>
            </w:r>
          </w:p>
          <w:p w14:paraId="3231381B">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2.主管部门：鞍山市乡村振兴局。</w:t>
            </w:r>
          </w:p>
          <w:p w14:paraId="40C1A31C">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3.预算安排金额：813.28万元。</w:t>
            </w:r>
          </w:p>
          <w:p w14:paraId="29151C00">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4.预算安排相关政策和依据：</w:t>
            </w:r>
          </w:p>
          <w:p w14:paraId="4665F733">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《鞍山市实现巩固拓展脱</w:t>
            </w:r>
            <w:r>
              <w:rPr>
                <w:rFonts w:hint="eastAsia" w:ascii="仿宋" w:hAnsi="仿宋" w:cs="仿宋"/>
                <w:bCs/>
                <w:kern w:val="0"/>
                <w:szCs w:val="21"/>
                <w:lang w:eastAsia="zh-CN"/>
              </w:rPr>
              <w:t>贫</w:t>
            </w:r>
            <w:r>
              <w:rPr>
                <w:rFonts w:hint="eastAsia" w:ascii="仿宋" w:hAnsi="仿宋" w:cs="仿宋"/>
                <w:bCs/>
                <w:kern w:val="0"/>
                <w:szCs w:val="21"/>
              </w:rPr>
              <w:t>攻坚成果同乡村振兴有效衔接的实施方来》(鞍委办发[2021]34号)。</w:t>
            </w:r>
          </w:p>
          <w:p w14:paraId="17A9F389">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5.绩效目标：</w:t>
            </w:r>
          </w:p>
          <w:p w14:paraId="2E5FD013">
            <w:pPr>
              <w:tabs>
                <w:tab w:val="left" w:pos="0"/>
              </w:tabs>
              <w:adjustRightInd w:val="0"/>
              <w:snapToGrid w:val="0"/>
              <w:jc w:val="left"/>
              <w:rPr>
                <w:rFonts w:hint="eastAsia" w:ascii="仿宋" w:hAnsi="仿宋" w:cs="仿宋"/>
                <w:bCs/>
                <w:kern w:val="0"/>
                <w:szCs w:val="21"/>
              </w:rPr>
            </w:pPr>
            <w:r>
              <w:rPr>
                <w:rFonts w:hint="eastAsia" w:ascii="仿宋" w:hAnsi="仿宋" w:cs="仿宋"/>
                <w:bCs/>
                <w:kern w:val="0"/>
                <w:szCs w:val="21"/>
              </w:rPr>
              <w:t>稳定金融扶持政策，保证已脱贫户稳定脱贫，不返贫，减轻企业的负担。脱贫户、边缘易致贫户小额贷款由市本级负责全额贴息；民营企业和新型农业经营主体扶贫再贷款在展期内，由市本级按照同期同档次基础利率予以贴息。</w:t>
            </w:r>
          </w:p>
          <w:p w14:paraId="63D39C05">
            <w:pPr>
              <w:tabs>
                <w:tab w:val="left" w:pos="0"/>
              </w:tabs>
              <w:adjustRightInd w:val="0"/>
              <w:snapToGrid w:val="0"/>
              <w:spacing w:line="400" w:lineRule="exact"/>
              <w:rPr>
                <w:rFonts w:hint="eastAsia" w:ascii="仿宋" w:hAnsi="仿宋" w:cs="仿宋"/>
                <w:b/>
                <w:kern w:val="0"/>
                <w:szCs w:val="21"/>
              </w:rPr>
            </w:pPr>
            <w:r>
              <w:rPr>
                <w:rFonts w:hint="eastAsia" w:ascii="仿宋" w:hAnsi="仿宋" w:cs="仿宋"/>
                <w:b/>
                <w:kern w:val="0"/>
                <w:szCs w:val="21"/>
              </w:rPr>
              <w:t>★二、绩效评价项目服务内容</w:t>
            </w:r>
          </w:p>
          <w:p w14:paraId="64E8D4A0">
            <w:pPr>
              <w:spacing w:line="400" w:lineRule="exact"/>
              <w:ind w:hanging="1"/>
              <w:rPr>
                <w:rFonts w:hint="eastAsia" w:ascii="仿宋" w:hAnsi="仿宋" w:cs="仿宋"/>
                <w:szCs w:val="21"/>
              </w:rPr>
            </w:pPr>
            <w:r>
              <w:rPr>
                <w:rFonts w:hint="eastAsia" w:ascii="仿宋" w:hAnsi="仿宋" w:cs="仿宋"/>
                <w:szCs w:val="21"/>
              </w:rPr>
              <w:t>（一）制定绩效评价方案。</w:t>
            </w:r>
          </w:p>
          <w:p w14:paraId="081F3E55">
            <w:pPr>
              <w:snapToGrid w:val="0"/>
              <w:jc w:val="left"/>
              <w:rPr>
                <w:rFonts w:hint="eastAsia" w:ascii="仿宋" w:hAnsi="仿宋" w:cs="仿宋"/>
                <w:szCs w:val="21"/>
              </w:rPr>
            </w:pPr>
            <w:r>
              <w:rPr>
                <w:rFonts w:hint="eastAsia" w:ascii="仿宋" w:hAnsi="仿宋" w:cs="仿宋"/>
                <w:szCs w:val="21"/>
              </w:rPr>
              <w:t xml:space="preserve">方案达到要求后，方可进入下一步工作程序。方案应结合项目特点和属性，具体要做到： </w:t>
            </w:r>
          </w:p>
          <w:p w14:paraId="40A00FB0">
            <w:pPr>
              <w:snapToGrid w:val="0"/>
              <w:ind w:firstLine="420" w:firstLineChars="200"/>
              <w:jc w:val="left"/>
              <w:rPr>
                <w:rFonts w:hint="eastAsia" w:ascii="仿宋" w:hAnsi="仿宋" w:cs="仿宋"/>
                <w:szCs w:val="21"/>
              </w:rPr>
            </w:pPr>
            <w:r>
              <w:rPr>
                <w:rFonts w:hint="eastAsia" w:ascii="仿宋" w:hAnsi="仿宋" w:cs="仿宋"/>
                <w:szCs w:val="21"/>
              </w:rPr>
              <w:t xml:space="preserve">方案的结构与内容。主要包括绩效评价思路、绩效评价方法、绩效评价指标体系、评价工作的组织与实施、满意度调查计划等要素。 </w:t>
            </w:r>
          </w:p>
          <w:p w14:paraId="29C23FBF">
            <w:pPr>
              <w:snapToGrid w:val="0"/>
              <w:ind w:firstLine="420" w:firstLineChars="200"/>
              <w:jc w:val="left"/>
              <w:rPr>
                <w:rFonts w:hint="eastAsia" w:ascii="仿宋" w:hAnsi="仿宋" w:cs="仿宋"/>
                <w:szCs w:val="21"/>
              </w:rPr>
            </w:pPr>
            <w:r>
              <w:rPr>
                <w:rFonts w:hint="eastAsia" w:ascii="仿宋" w:hAnsi="仿宋" w:cs="仿宋"/>
                <w:szCs w:val="21"/>
              </w:rPr>
              <w:t xml:space="preserve">（1）绩效评价思路包括绩效评价目的和依据、绩效评价对象和内容； </w:t>
            </w:r>
          </w:p>
          <w:p w14:paraId="31DE29B4">
            <w:pPr>
              <w:snapToGrid w:val="0"/>
              <w:ind w:firstLine="420" w:firstLineChars="200"/>
              <w:jc w:val="left"/>
              <w:rPr>
                <w:rFonts w:hint="eastAsia" w:ascii="仿宋" w:hAnsi="仿宋" w:cs="仿宋"/>
                <w:szCs w:val="21"/>
              </w:rPr>
            </w:pPr>
            <w:r>
              <w:rPr>
                <w:rFonts w:hint="eastAsia" w:ascii="仿宋" w:hAnsi="仿宋" w:cs="仿宋"/>
                <w:szCs w:val="21"/>
              </w:rPr>
              <w:t xml:space="preserve">（2）绩效评价方法是指为实现评价目的，在绩效评价工作中所采用的评价方法； </w:t>
            </w:r>
          </w:p>
          <w:p w14:paraId="70EA42C5">
            <w:pPr>
              <w:snapToGrid w:val="0"/>
              <w:ind w:firstLine="420" w:firstLineChars="200"/>
              <w:jc w:val="left"/>
              <w:rPr>
                <w:rFonts w:hint="eastAsia" w:ascii="仿宋" w:hAnsi="仿宋" w:cs="仿宋"/>
                <w:szCs w:val="21"/>
              </w:rPr>
            </w:pPr>
            <w:r>
              <w:rPr>
                <w:rFonts w:hint="eastAsia" w:ascii="仿宋" w:hAnsi="仿宋" w:cs="仿宋"/>
                <w:szCs w:val="21"/>
              </w:rPr>
              <w:t xml:space="preserve">（3）绩效评价指标体系包括评价指标、指标解释、权重、评价标准、得分依据等，指标应对照项目类型和项目实施方案等制度文件进行细化，要充分反应项目内容； </w:t>
            </w:r>
          </w:p>
          <w:p w14:paraId="2AE6A944">
            <w:pPr>
              <w:snapToGrid w:val="0"/>
              <w:ind w:firstLine="420" w:firstLineChars="200"/>
              <w:jc w:val="left"/>
              <w:rPr>
                <w:rFonts w:hint="eastAsia" w:ascii="仿宋" w:hAnsi="仿宋" w:cs="仿宋"/>
                <w:szCs w:val="21"/>
              </w:rPr>
            </w:pPr>
            <w:r>
              <w:rPr>
                <w:rFonts w:hint="eastAsia" w:ascii="仿宋" w:hAnsi="仿宋" w:cs="仿宋"/>
                <w:szCs w:val="21"/>
              </w:rPr>
              <w:t xml:space="preserve">（4）评价工作的组织与实施包括时间节点及工作计划、人员分工及职责； </w:t>
            </w:r>
          </w:p>
          <w:p w14:paraId="5D24B4B6">
            <w:pPr>
              <w:snapToGrid w:val="0"/>
              <w:ind w:firstLine="420" w:firstLineChars="200"/>
              <w:jc w:val="left"/>
              <w:rPr>
                <w:rFonts w:hint="eastAsia" w:ascii="仿宋" w:hAnsi="仿宋" w:cs="仿宋"/>
                <w:kern w:val="0"/>
                <w:szCs w:val="21"/>
              </w:rPr>
            </w:pPr>
            <w:r>
              <w:rPr>
                <w:rFonts w:hint="eastAsia" w:ascii="仿宋" w:hAnsi="仿宋" w:cs="仿宋"/>
                <w:szCs w:val="21"/>
              </w:rPr>
              <w:t xml:space="preserve">（5）满意度调查计划，说明调查对象、调查方法、设计调查问卷、抽样方法、收集整理等。 </w:t>
            </w:r>
          </w:p>
          <w:p w14:paraId="62680DD2">
            <w:pPr>
              <w:spacing w:line="400" w:lineRule="exact"/>
              <w:ind w:hanging="1"/>
              <w:rPr>
                <w:rFonts w:hint="eastAsia" w:ascii="仿宋" w:hAnsi="仿宋" w:cs="仿宋"/>
                <w:szCs w:val="21"/>
              </w:rPr>
            </w:pPr>
            <w:r>
              <w:rPr>
                <w:rFonts w:hint="eastAsia" w:ascii="仿宋" w:hAnsi="仿宋" w:cs="仿宋"/>
                <w:szCs w:val="21"/>
              </w:rPr>
              <w:t>（二）设计绩效评价指标体系，包含共性指标、个性指标及相关指标说明。其中，针对项目特点在评价指标框架体系下制定的个性指标应不少于15个。</w:t>
            </w:r>
          </w:p>
          <w:p w14:paraId="5580410E">
            <w:pPr>
              <w:spacing w:line="400" w:lineRule="exact"/>
              <w:ind w:hanging="1"/>
              <w:rPr>
                <w:rFonts w:hint="eastAsia" w:ascii="仿宋" w:hAnsi="仿宋" w:cs="仿宋"/>
                <w:szCs w:val="21"/>
              </w:rPr>
            </w:pPr>
            <w:r>
              <w:rPr>
                <w:rFonts w:hint="eastAsia" w:ascii="仿宋" w:hAnsi="仿宋" w:cs="仿宋"/>
                <w:szCs w:val="21"/>
              </w:rPr>
              <w:t>（三）制定证据收集计划。</w:t>
            </w:r>
          </w:p>
          <w:p w14:paraId="13008809">
            <w:pPr>
              <w:spacing w:line="400" w:lineRule="exact"/>
              <w:ind w:hanging="1"/>
              <w:rPr>
                <w:rFonts w:hint="eastAsia" w:ascii="仿宋" w:hAnsi="仿宋" w:cs="仿宋"/>
                <w:szCs w:val="21"/>
              </w:rPr>
            </w:pPr>
            <w:r>
              <w:rPr>
                <w:rFonts w:hint="eastAsia" w:ascii="仿宋" w:hAnsi="仿宋" w:cs="仿宋"/>
                <w:szCs w:val="21"/>
              </w:rPr>
              <w:t>（四）实施评价，包括：案卷研究、现场评价、面访等。</w:t>
            </w:r>
          </w:p>
          <w:p w14:paraId="5104B290">
            <w:pPr>
              <w:autoSpaceDE w:val="0"/>
              <w:autoSpaceDN w:val="0"/>
              <w:jc w:val="left"/>
              <w:rPr>
                <w:rFonts w:hint="eastAsia" w:ascii="仿宋" w:hAnsi="仿宋" w:cs="仿宋"/>
                <w:szCs w:val="21"/>
                <w:lang w:bidi="zh-CN"/>
              </w:rPr>
            </w:pPr>
            <w:r>
              <w:rPr>
                <w:rFonts w:hint="eastAsia" w:ascii="仿宋" w:hAnsi="仿宋" w:cs="仿宋"/>
                <w:szCs w:val="21"/>
                <w:lang w:bidi="zh-CN"/>
              </w:rPr>
              <w:t>绩效评价需符合财政部财预【2021】6号《财政部关于委托第三方机构参与预算绩效管理的指导意见》、辽宁省财政厅辽财绩【2019】350号《关于印发辽宁省省级预算绩效管理实施细则（试行）的通知》、中共鞍山市委鞍委发【2021】1号《中共鞍山市委、鞍山市人民政府关于全面实施预算绩效管理的实施意见》等相关文件的有关规定。</w:t>
            </w:r>
          </w:p>
          <w:p w14:paraId="7CF16D7C">
            <w:pPr>
              <w:autoSpaceDE w:val="0"/>
              <w:autoSpaceDN w:val="0"/>
              <w:jc w:val="left"/>
              <w:rPr>
                <w:rFonts w:hint="eastAsia" w:ascii="仿宋" w:hAnsi="仿宋" w:cs="仿宋"/>
                <w:kern w:val="0"/>
                <w:szCs w:val="21"/>
                <w:lang w:val="zh-CN" w:bidi="zh-CN"/>
              </w:rPr>
            </w:pPr>
            <w:r>
              <w:rPr>
                <w:rFonts w:hint="eastAsia" w:ascii="仿宋" w:hAnsi="仿宋" w:cs="仿宋"/>
                <w:szCs w:val="21"/>
                <w:lang w:bidi="zh-CN"/>
              </w:rPr>
              <w:t xml:space="preserve">现场核查：为保证报告质量，现场核查次数需与采购人协商确定，现场核查项目覆盖率原则上应达到100%，如项目点位过多可与采购人商定，但最低不得低于30%。每项资金所涉及的具体项目均需进行现场核查及案卷分析。每次进场需填写《进场确认单》。 </w:t>
            </w:r>
          </w:p>
          <w:p w14:paraId="1B324F91">
            <w:pPr>
              <w:spacing w:line="400" w:lineRule="exact"/>
              <w:ind w:hanging="1"/>
              <w:rPr>
                <w:rFonts w:hint="eastAsia" w:ascii="仿宋" w:hAnsi="仿宋" w:cs="仿宋"/>
                <w:szCs w:val="21"/>
              </w:rPr>
            </w:pPr>
            <w:r>
              <w:rPr>
                <w:rFonts w:hint="eastAsia" w:ascii="仿宋" w:hAnsi="仿宋" w:cs="仿宋"/>
                <w:szCs w:val="21"/>
              </w:rPr>
              <w:t>（五）综合分析并形成评价结论。</w:t>
            </w:r>
          </w:p>
          <w:p w14:paraId="5F9A72AB">
            <w:pPr>
              <w:autoSpaceDE w:val="0"/>
              <w:autoSpaceDN w:val="0"/>
              <w:jc w:val="left"/>
              <w:rPr>
                <w:rFonts w:hint="eastAsia" w:ascii="仿宋" w:hAnsi="仿宋" w:cs="仿宋"/>
                <w:szCs w:val="21"/>
                <w:lang w:bidi="zh-CN"/>
              </w:rPr>
            </w:pPr>
            <w:r>
              <w:rPr>
                <w:rFonts w:hint="eastAsia" w:ascii="仿宋" w:hAnsi="仿宋" w:cs="仿宋"/>
                <w:szCs w:val="21"/>
                <w:lang w:bidi="zh-CN"/>
              </w:rPr>
              <w:t xml:space="preserve">供应商要按照评价对象的分类分组，经充分分析论证，采用察访核验、案卷研究、问卷调查、访谈、座谈会等综合评价方法，完成数据收集工作，整合评价基本情况、评价数据，深入挖掘问题原因，提出意见建议，形成评价结论。 </w:t>
            </w:r>
          </w:p>
          <w:p w14:paraId="11269F9E">
            <w:pPr>
              <w:autoSpaceDE w:val="0"/>
              <w:autoSpaceDN w:val="0"/>
              <w:jc w:val="left"/>
              <w:rPr>
                <w:rFonts w:hint="eastAsia" w:ascii="仿宋" w:hAnsi="仿宋" w:cs="仿宋"/>
                <w:szCs w:val="21"/>
                <w:lang w:bidi="zh-CN"/>
              </w:rPr>
            </w:pPr>
            <w:r>
              <w:rPr>
                <w:rFonts w:hint="eastAsia" w:ascii="仿宋" w:hAnsi="仿宋" w:cs="仿宋"/>
                <w:szCs w:val="21"/>
                <w:lang w:bidi="zh-CN"/>
              </w:rPr>
              <w:t>（六）对项目原有的绩效目标和指标进行完善，并提出为项目新设定的可用于申报下一年部门预算的绩效目标和指标。</w:t>
            </w:r>
          </w:p>
          <w:p w14:paraId="074BF87F">
            <w:pPr>
              <w:autoSpaceDE w:val="0"/>
              <w:autoSpaceDN w:val="0"/>
              <w:jc w:val="left"/>
              <w:rPr>
                <w:rFonts w:hint="eastAsia" w:ascii="仿宋" w:hAnsi="仿宋" w:cs="仿宋"/>
                <w:szCs w:val="21"/>
                <w:lang w:bidi="zh-CN"/>
              </w:rPr>
            </w:pPr>
            <w:r>
              <w:rPr>
                <w:rFonts w:hint="eastAsia" w:ascii="仿宋" w:hAnsi="仿宋" w:cs="仿宋"/>
                <w:szCs w:val="21"/>
                <w:lang w:bidi="zh-CN"/>
              </w:rPr>
              <w:t>（七）撰写并提交绩效评价报告。</w:t>
            </w:r>
          </w:p>
          <w:p w14:paraId="182B4E88">
            <w:pPr>
              <w:autoSpaceDE w:val="0"/>
              <w:autoSpaceDN w:val="0"/>
              <w:jc w:val="left"/>
              <w:rPr>
                <w:rFonts w:hint="eastAsia" w:ascii="仿宋" w:hAnsi="仿宋" w:cs="仿宋"/>
                <w:szCs w:val="21"/>
                <w:lang w:bidi="zh-CN"/>
              </w:rPr>
            </w:pPr>
            <w:r>
              <w:rPr>
                <w:rFonts w:hint="eastAsia" w:ascii="仿宋" w:hAnsi="仿宋" w:cs="仿宋"/>
                <w:szCs w:val="21"/>
                <w:lang w:bidi="zh-CN"/>
              </w:rPr>
              <w:t xml:space="preserve">编写《××评价报告（初稿）》，报采购人及被评价部门进行初验。初验通过后，由供应商组织召开专家评审会实施深层次论证，结合采购人、专家组及被评价部门相关意见和建议，进一步修改完善报告内容后，提交正式报告。每个项目出具一份评价报告。绩效评价报告中的数据、内容要真实准确，揭示问题要事实清楚、证据确凿、定性准确。供应商对出具的绩效评价报告真实性、准确性负责。 </w:t>
            </w:r>
          </w:p>
          <w:p w14:paraId="010BD731">
            <w:pPr>
              <w:snapToGrid w:val="0"/>
              <w:jc w:val="left"/>
              <w:rPr>
                <w:rFonts w:hint="eastAsia" w:ascii="仿宋" w:hAnsi="仿宋" w:cs="仿宋"/>
                <w:szCs w:val="21"/>
              </w:rPr>
            </w:pPr>
            <w:r>
              <w:rPr>
                <w:rFonts w:hint="eastAsia" w:ascii="仿宋" w:hAnsi="仿宋" w:cs="仿宋"/>
                <w:szCs w:val="21"/>
              </w:rPr>
              <w:t xml:space="preserve">报告应包含但不限于以下内容： </w:t>
            </w:r>
          </w:p>
          <w:p w14:paraId="400624BD">
            <w:pPr>
              <w:snapToGrid w:val="0"/>
              <w:ind w:firstLine="420" w:firstLineChars="200"/>
              <w:jc w:val="left"/>
              <w:rPr>
                <w:rFonts w:hint="eastAsia" w:ascii="仿宋" w:hAnsi="仿宋" w:cs="仿宋"/>
                <w:szCs w:val="21"/>
              </w:rPr>
            </w:pPr>
            <w:r>
              <w:rPr>
                <w:rFonts w:hint="eastAsia" w:ascii="仿宋" w:hAnsi="仿宋" w:cs="仿宋"/>
                <w:szCs w:val="21"/>
              </w:rPr>
              <w:t xml:space="preserve">1、基本情况 </w:t>
            </w:r>
          </w:p>
          <w:p w14:paraId="6576A044">
            <w:pPr>
              <w:snapToGrid w:val="0"/>
              <w:ind w:firstLine="420" w:firstLineChars="200"/>
              <w:jc w:val="left"/>
              <w:rPr>
                <w:rFonts w:hint="eastAsia" w:ascii="仿宋" w:hAnsi="仿宋" w:cs="仿宋"/>
                <w:szCs w:val="21"/>
              </w:rPr>
            </w:pPr>
            <w:r>
              <w:rPr>
                <w:rFonts w:hint="eastAsia" w:ascii="仿宋" w:hAnsi="仿宋" w:cs="仿宋"/>
                <w:szCs w:val="21"/>
              </w:rPr>
              <w:t xml:space="preserve">项目概况。包括项目背景、主要内容及实施情况、资金投入和使用情况等。 </w:t>
            </w:r>
          </w:p>
          <w:p w14:paraId="1BF026FC">
            <w:pPr>
              <w:snapToGrid w:val="0"/>
              <w:ind w:firstLine="420" w:firstLineChars="200"/>
              <w:jc w:val="left"/>
              <w:rPr>
                <w:rFonts w:hint="eastAsia" w:ascii="仿宋" w:hAnsi="仿宋" w:cs="仿宋"/>
                <w:szCs w:val="21"/>
              </w:rPr>
            </w:pPr>
            <w:r>
              <w:rPr>
                <w:rFonts w:hint="eastAsia" w:ascii="仿宋" w:hAnsi="仿宋" w:cs="仿宋"/>
                <w:szCs w:val="21"/>
              </w:rPr>
              <w:t xml:space="preserve">项目绩效目标。包括总体目标和阶段性目标。 </w:t>
            </w:r>
          </w:p>
          <w:p w14:paraId="400A9D3A">
            <w:pPr>
              <w:snapToGrid w:val="0"/>
              <w:ind w:firstLine="420" w:firstLineChars="200"/>
              <w:jc w:val="left"/>
              <w:rPr>
                <w:rFonts w:hint="eastAsia" w:ascii="仿宋" w:hAnsi="仿宋" w:cs="仿宋"/>
                <w:szCs w:val="21"/>
              </w:rPr>
            </w:pPr>
            <w:r>
              <w:rPr>
                <w:rFonts w:hint="eastAsia" w:ascii="仿宋" w:hAnsi="仿宋" w:cs="仿宋"/>
                <w:szCs w:val="21"/>
              </w:rPr>
              <w:t xml:space="preserve">2、绩效评价工作开展情况 </w:t>
            </w:r>
          </w:p>
          <w:p w14:paraId="54311D8F">
            <w:pPr>
              <w:snapToGrid w:val="0"/>
              <w:ind w:firstLine="420" w:firstLineChars="200"/>
              <w:jc w:val="left"/>
              <w:rPr>
                <w:rFonts w:hint="eastAsia" w:ascii="仿宋" w:hAnsi="仿宋" w:cs="仿宋"/>
                <w:szCs w:val="21"/>
              </w:rPr>
            </w:pPr>
            <w:r>
              <w:rPr>
                <w:rFonts w:hint="eastAsia" w:ascii="仿宋" w:hAnsi="仿宋" w:cs="仿宋"/>
                <w:szCs w:val="21"/>
              </w:rPr>
              <w:t xml:space="preserve">绩效评价目的、对象和范围。 </w:t>
            </w:r>
          </w:p>
          <w:p w14:paraId="1277C2AE">
            <w:pPr>
              <w:snapToGrid w:val="0"/>
              <w:ind w:firstLine="420" w:firstLineChars="200"/>
              <w:jc w:val="left"/>
              <w:rPr>
                <w:rFonts w:hint="eastAsia" w:ascii="仿宋" w:hAnsi="仿宋" w:cs="仿宋"/>
                <w:szCs w:val="21"/>
              </w:rPr>
            </w:pPr>
            <w:r>
              <w:rPr>
                <w:rFonts w:hint="eastAsia" w:ascii="仿宋" w:hAnsi="仿宋" w:cs="仿宋"/>
                <w:szCs w:val="21"/>
              </w:rPr>
              <w:t xml:space="preserve">绩效评价原则、评价指标体系（附表说明）、评价方法、评价标准等。 </w:t>
            </w:r>
          </w:p>
          <w:p w14:paraId="61E79A96">
            <w:pPr>
              <w:snapToGrid w:val="0"/>
              <w:ind w:firstLine="420" w:firstLineChars="200"/>
              <w:jc w:val="left"/>
              <w:rPr>
                <w:rFonts w:hint="eastAsia" w:ascii="仿宋" w:hAnsi="仿宋" w:cs="仿宋"/>
                <w:szCs w:val="21"/>
              </w:rPr>
            </w:pPr>
            <w:r>
              <w:rPr>
                <w:rFonts w:hint="eastAsia" w:ascii="仿宋" w:hAnsi="仿宋" w:cs="仿宋"/>
                <w:szCs w:val="21"/>
              </w:rPr>
              <w:t xml:space="preserve">绩效评价工作过程。 </w:t>
            </w:r>
          </w:p>
          <w:p w14:paraId="42567DBC">
            <w:pPr>
              <w:snapToGrid w:val="0"/>
              <w:ind w:firstLine="420" w:firstLineChars="200"/>
              <w:jc w:val="left"/>
              <w:rPr>
                <w:rFonts w:hint="eastAsia" w:ascii="仿宋" w:hAnsi="仿宋" w:cs="仿宋"/>
                <w:szCs w:val="21"/>
              </w:rPr>
            </w:pPr>
            <w:r>
              <w:rPr>
                <w:rFonts w:hint="eastAsia" w:ascii="仿宋" w:hAnsi="仿宋" w:cs="仿宋"/>
                <w:szCs w:val="21"/>
              </w:rPr>
              <w:t xml:space="preserve">3、综合评价情况及评价结论（附相关评分表） </w:t>
            </w:r>
          </w:p>
          <w:p w14:paraId="40F7BBF3">
            <w:pPr>
              <w:snapToGrid w:val="0"/>
              <w:ind w:firstLine="420" w:firstLineChars="200"/>
              <w:jc w:val="left"/>
              <w:rPr>
                <w:rFonts w:hint="eastAsia" w:ascii="仿宋" w:hAnsi="仿宋" w:cs="仿宋"/>
                <w:szCs w:val="21"/>
              </w:rPr>
            </w:pPr>
            <w:r>
              <w:rPr>
                <w:rFonts w:hint="eastAsia" w:ascii="仿宋" w:hAnsi="仿宋" w:cs="仿宋"/>
                <w:szCs w:val="21"/>
              </w:rPr>
              <w:t xml:space="preserve">4、绩效评价指标分析 </w:t>
            </w:r>
          </w:p>
          <w:p w14:paraId="6336484B">
            <w:pPr>
              <w:snapToGrid w:val="0"/>
              <w:ind w:firstLine="420" w:firstLineChars="200"/>
              <w:jc w:val="left"/>
              <w:rPr>
                <w:rFonts w:hint="eastAsia" w:ascii="仿宋" w:hAnsi="仿宋" w:cs="仿宋"/>
                <w:szCs w:val="21"/>
              </w:rPr>
            </w:pPr>
            <w:r>
              <w:rPr>
                <w:rFonts w:hint="eastAsia" w:ascii="仿宋" w:hAnsi="仿宋" w:cs="仿宋"/>
                <w:szCs w:val="21"/>
              </w:rPr>
              <w:t xml:space="preserve">项目决策情况。 </w:t>
            </w:r>
          </w:p>
          <w:p w14:paraId="45A42665">
            <w:pPr>
              <w:snapToGrid w:val="0"/>
              <w:ind w:firstLine="420" w:firstLineChars="200"/>
              <w:jc w:val="left"/>
              <w:rPr>
                <w:rFonts w:hint="eastAsia" w:ascii="仿宋" w:hAnsi="仿宋" w:cs="仿宋"/>
                <w:szCs w:val="21"/>
              </w:rPr>
            </w:pPr>
            <w:r>
              <w:rPr>
                <w:rFonts w:hint="eastAsia" w:ascii="仿宋" w:hAnsi="仿宋" w:cs="仿宋"/>
                <w:szCs w:val="21"/>
              </w:rPr>
              <w:t xml:space="preserve">项目过程情况。 </w:t>
            </w:r>
          </w:p>
          <w:p w14:paraId="25785593">
            <w:pPr>
              <w:snapToGrid w:val="0"/>
              <w:ind w:firstLine="420" w:firstLineChars="200"/>
              <w:jc w:val="left"/>
              <w:rPr>
                <w:rFonts w:hint="eastAsia" w:ascii="仿宋" w:hAnsi="仿宋" w:cs="仿宋"/>
                <w:szCs w:val="21"/>
              </w:rPr>
            </w:pPr>
            <w:r>
              <w:rPr>
                <w:rFonts w:hint="eastAsia" w:ascii="仿宋" w:hAnsi="仿宋" w:cs="仿宋"/>
                <w:szCs w:val="21"/>
              </w:rPr>
              <w:t xml:space="preserve">项目产出情况。 </w:t>
            </w:r>
          </w:p>
          <w:p w14:paraId="25FEF92D">
            <w:pPr>
              <w:snapToGrid w:val="0"/>
              <w:ind w:firstLine="420" w:firstLineChars="200"/>
              <w:jc w:val="left"/>
              <w:rPr>
                <w:rFonts w:hint="eastAsia" w:ascii="仿宋" w:hAnsi="仿宋" w:cs="仿宋"/>
                <w:szCs w:val="21"/>
              </w:rPr>
            </w:pPr>
            <w:r>
              <w:rPr>
                <w:rFonts w:hint="eastAsia" w:ascii="仿宋" w:hAnsi="仿宋" w:cs="仿宋"/>
                <w:szCs w:val="21"/>
              </w:rPr>
              <w:t xml:space="preserve">项目效益情况。 </w:t>
            </w:r>
          </w:p>
          <w:p w14:paraId="6BBB3B65">
            <w:pPr>
              <w:snapToGrid w:val="0"/>
              <w:ind w:firstLine="420" w:firstLineChars="200"/>
              <w:jc w:val="left"/>
              <w:rPr>
                <w:rFonts w:hint="eastAsia" w:ascii="仿宋" w:hAnsi="仿宋" w:cs="仿宋"/>
                <w:szCs w:val="21"/>
              </w:rPr>
            </w:pPr>
            <w:r>
              <w:rPr>
                <w:rFonts w:hint="eastAsia" w:ascii="仿宋" w:hAnsi="仿宋" w:cs="仿宋"/>
                <w:szCs w:val="21"/>
              </w:rPr>
              <w:t xml:space="preserve">5、主要经验及做法、存在的问题及原因分析 </w:t>
            </w:r>
          </w:p>
          <w:p w14:paraId="036721A7">
            <w:pPr>
              <w:snapToGrid w:val="0"/>
              <w:ind w:firstLine="420" w:firstLineChars="200"/>
              <w:jc w:val="left"/>
              <w:rPr>
                <w:rFonts w:hint="eastAsia" w:ascii="仿宋" w:hAnsi="仿宋" w:cs="仿宋"/>
                <w:szCs w:val="21"/>
              </w:rPr>
            </w:pPr>
            <w:r>
              <w:rPr>
                <w:rFonts w:hint="eastAsia" w:ascii="仿宋" w:hAnsi="仿宋" w:cs="仿宋"/>
                <w:szCs w:val="21"/>
              </w:rPr>
              <w:t xml:space="preserve">6、评价结果应用建议 </w:t>
            </w:r>
          </w:p>
          <w:p w14:paraId="67821FCE">
            <w:pPr>
              <w:snapToGrid w:val="0"/>
              <w:ind w:firstLine="420" w:firstLineChars="200"/>
              <w:jc w:val="left"/>
              <w:rPr>
                <w:rFonts w:hint="eastAsia" w:ascii="仿宋" w:hAnsi="仿宋" w:cs="仿宋"/>
                <w:szCs w:val="21"/>
              </w:rPr>
            </w:pPr>
            <w:r>
              <w:rPr>
                <w:rFonts w:hint="eastAsia" w:ascii="仿宋" w:hAnsi="仿宋" w:cs="仿宋"/>
                <w:szCs w:val="21"/>
              </w:rPr>
              <w:t xml:space="preserve">提出财政评价结果应用建议，将财政评价结果作为安排政府预算、完善政策和改进管理的重要依据。 </w:t>
            </w:r>
          </w:p>
          <w:p w14:paraId="7E018968">
            <w:pPr>
              <w:snapToGrid w:val="0"/>
              <w:ind w:firstLine="420" w:firstLineChars="200"/>
              <w:jc w:val="left"/>
              <w:rPr>
                <w:rFonts w:hint="eastAsia" w:ascii="仿宋" w:hAnsi="仿宋" w:cs="仿宋"/>
                <w:kern w:val="0"/>
                <w:szCs w:val="21"/>
              </w:rPr>
            </w:pPr>
            <w:r>
              <w:rPr>
                <w:rFonts w:hint="eastAsia" w:ascii="仿宋" w:hAnsi="仿宋" w:cs="仿宋"/>
                <w:szCs w:val="21"/>
              </w:rPr>
              <w:t xml:space="preserve">7、其他需要说明的问题 </w:t>
            </w:r>
          </w:p>
          <w:p w14:paraId="1B65CC6F">
            <w:pPr>
              <w:snapToGrid w:val="0"/>
              <w:jc w:val="left"/>
              <w:rPr>
                <w:rFonts w:hint="eastAsia" w:ascii="仿宋" w:hAnsi="仿宋" w:cs="仿宋"/>
                <w:szCs w:val="21"/>
              </w:rPr>
            </w:pPr>
            <w:r>
              <w:rPr>
                <w:rFonts w:hint="eastAsia" w:ascii="仿宋" w:hAnsi="仿宋" w:cs="仿宋"/>
                <w:szCs w:val="21"/>
              </w:rPr>
              <w:t xml:space="preserve">（八）其他 </w:t>
            </w:r>
          </w:p>
          <w:p w14:paraId="7BCB0F69">
            <w:pPr>
              <w:snapToGrid w:val="0"/>
              <w:jc w:val="left"/>
              <w:rPr>
                <w:rFonts w:hint="eastAsia" w:ascii="仿宋" w:hAnsi="仿宋" w:cs="仿宋"/>
                <w:szCs w:val="21"/>
              </w:rPr>
            </w:pPr>
            <w:r>
              <w:rPr>
                <w:rFonts w:hint="eastAsia" w:ascii="仿宋" w:hAnsi="仿宋" w:cs="仿宋"/>
                <w:szCs w:val="21"/>
              </w:rPr>
              <w:t xml:space="preserve">建立不定期沟通制度，重大问题需及时请示报告。 </w:t>
            </w:r>
          </w:p>
          <w:p w14:paraId="46CB4E44">
            <w:pPr>
              <w:snapToGrid w:val="0"/>
              <w:jc w:val="left"/>
              <w:rPr>
                <w:rFonts w:hint="eastAsia" w:ascii="仿宋" w:hAnsi="仿宋" w:cs="仿宋"/>
                <w:szCs w:val="21"/>
              </w:rPr>
            </w:pPr>
            <w:r>
              <w:rPr>
                <w:rFonts w:hint="eastAsia" w:ascii="仿宋" w:hAnsi="仿宋" w:cs="仿宋"/>
                <w:szCs w:val="21"/>
              </w:rPr>
              <w:t xml:space="preserve">建立绩效工作档案管理制度，及时对受托业务资料进行收集、整理、造册，建档管理。供应商应将保管的预算绩效管理档案材料目录报委托方。采购人有权调阅、查询和复制所委托项目评价档案资料。成果印刷应符合甲方要求。 </w:t>
            </w:r>
          </w:p>
          <w:p w14:paraId="6ED8DED1">
            <w:pPr>
              <w:snapToGrid w:val="0"/>
              <w:jc w:val="left"/>
              <w:rPr>
                <w:rFonts w:hint="eastAsia" w:ascii="仿宋" w:hAnsi="仿宋" w:cs="仿宋"/>
                <w:szCs w:val="21"/>
              </w:rPr>
            </w:pPr>
            <w:r>
              <w:rPr>
                <w:rFonts w:hint="eastAsia" w:ascii="仿宋" w:hAnsi="仿宋" w:cs="仿宋"/>
                <w:szCs w:val="21"/>
              </w:rPr>
              <w:t xml:space="preserve">供应商对被评价单位内部资料及相关信息予以保密，不得向外泄露。 </w:t>
            </w:r>
          </w:p>
          <w:p w14:paraId="31F62117">
            <w:pPr>
              <w:snapToGrid w:val="0"/>
              <w:jc w:val="left"/>
              <w:rPr>
                <w:rFonts w:hint="eastAsia" w:ascii="仿宋" w:hAnsi="仿宋" w:cs="仿宋"/>
                <w:szCs w:val="21"/>
              </w:rPr>
            </w:pPr>
            <w:r>
              <w:rPr>
                <w:rFonts w:hint="eastAsia" w:ascii="仿宋" w:hAnsi="仿宋" w:cs="仿宋"/>
                <w:szCs w:val="21"/>
              </w:rPr>
              <w:t xml:space="preserve">供应商选派的人员（包括绩效评价工作组成员及专家组成员）要遵守检查工作纪律，服从安排，不得违反有关廉洁纪律规定。 </w:t>
            </w:r>
          </w:p>
          <w:p w14:paraId="232EB4CD">
            <w:pPr>
              <w:snapToGrid w:val="0"/>
              <w:jc w:val="left"/>
              <w:rPr>
                <w:rFonts w:hint="eastAsia" w:ascii="仿宋" w:hAnsi="仿宋" w:cs="仿宋"/>
                <w:szCs w:val="21"/>
              </w:rPr>
            </w:pPr>
            <w:r>
              <w:rPr>
                <w:rFonts w:hint="eastAsia" w:ascii="仿宋" w:hAnsi="仿宋" w:cs="仿宋"/>
                <w:szCs w:val="21"/>
              </w:rPr>
              <w:t>采购人将对项目评审全过程工作情况进行质量评估和工作验收，若发现会计师事务所在绩效评价过程中有下列行为之一的，采购人将视情节轻重依据国家法律法规要求其承担相关责任，并视具体情况扣减部分或拒付全部委托评价费用：</w:t>
            </w:r>
          </w:p>
          <w:p w14:paraId="4468E8D3">
            <w:pPr>
              <w:snapToGrid w:val="0"/>
              <w:ind w:firstLine="420" w:firstLineChars="200"/>
              <w:jc w:val="left"/>
              <w:rPr>
                <w:rFonts w:hint="eastAsia" w:ascii="仿宋" w:hAnsi="仿宋" w:cs="仿宋"/>
                <w:szCs w:val="21"/>
              </w:rPr>
            </w:pPr>
            <w:r>
              <w:rPr>
                <w:rFonts w:hint="eastAsia" w:ascii="仿宋" w:hAnsi="仿宋" w:cs="仿宋"/>
                <w:szCs w:val="21"/>
              </w:rPr>
              <w:t>（1）未按委托协议规定时间完成绩效评价工作的；</w:t>
            </w:r>
          </w:p>
          <w:p w14:paraId="047E5533">
            <w:pPr>
              <w:snapToGrid w:val="0"/>
              <w:ind w:firstLine="420" w:firstLineChars="200"/>
              <w:jc w:val="left"/>
              <w:rPr>
                <w:rFonts w:hint="eastAsia" w:ascii="仿宋" w:hAnsi="仿宋" w:cs="仿宋"/>
                <w:szCs w:val="21"/>
              </w:rPr>
            </w:pPr>
            <w:r>
              <w:rPr>
                <w:rFonts w:hint="eastAsia" w:ascii="仿宋" w:hAnsi="仿宋" w:cs="仿宋"/>
                <w:szCs w:val="21"/>
              </w:rPr>
              <w:t>（2）应该主动回避而未向组织评价机构提出的；</w:t>
            </w:r>
          </w:p>
          <w:p w14:paraId="4BCE67E5">
            <w:pPr>
              <w:snapToGrid w:val="0"/>
              <w:ind w:firstLine="420" w:firstLineChars="200"/>
              <w:jc w:val="left"/>
              <w:rPr>
                <w:rFonts w:hint="eastAsia" w:ascii="仿宋" w:hAnsi="仿宋" w:cs="仿宋"/>
                <w:szCs w:val="21"/>
              </w:rPr>
            </w:pPr>
            <w:r>
              <w:rPr>
                <w:rFonts w:hint="eastAsia" w:ascii="仿宋" w:hAnsi="仿宋" w:cs="仿宋"/>
                <w:szCs w:val="21"/>
              </w:rPr>
              <w:t>（3）未按照绩效评价有关规定和委托协议要求开展绩效评价工作的；</w:t>
            </w:r>
          </w:p>
          <w:p w14:paraId="143C34A8">
            <w:pPr>
              <w:snapToGrid w:val="0"/>
              <w:ind w:firstLine="420" w:firstLineChars="200"/>
              <w:jc w:val="left"/>
              <w:rPr>
                <w:rFonts w:hint="eastAsia" w:ascii="仿宋" w:hAnsi="仿宋" w:cs="仿宋"/>
                <w:szCs w:val="21"/>
              </w:rPr>
            </w:pPr>
            <w:r>
              <w:rPr>
                <w:rFonts w:hint="eastAsia" w:ascii="仿宋" w:hAnsi="仿宋" w:cs="仿宋"/>
                <w:szCs w:val="21"/>
              </w:rPr>
              <w:t>（4）出具的绩效评价报告没有做到客观、公正、真实、准确，违背行业规范和职业道德的；</w:t>
            </w:r>
          </w:p>
          <w:p w14:paraId="718FA1FB">
            <w:pPr>
              <w:snapToGrid w:val="0"/>
              <w:ind w:firstLine="420" w:firstLineChars="200"/>
              <w:jc w:val="left"/>
              <w:rPr>
                <w:rFonts w:hint="eastAsia" w:ascii="仿宋" w:hAnsi="仿宋" w:cs="仿宋"/>
                <w:szCs w:val="21"/>
              </w:rPr>
            </w:pPr>
            <w:r>
              <w:rPr>
                <w:rFonts w:hint="eastAsia" w:ascii="仿宋" w:hAnsi="仿宋" w:cs="仿宋"/>
                <w:szCs w:val="21"/>
              </w:rPr>
              <w:t>（5）未经组织评价机构同意，对外泄露被评价对象绩效评价的相关资料和有关情况，造成不良影响或损失的；</w:t>
            </w:r>
          </w:p>
          <w:p w14:paraId="6F2A48BA">
            <w:pPr>
              <w:snapToGrid w:val="0"/>
              <w:ind w:firstLine="420" w:firstLineChars="200"/>
              <w:jc w:val="left"/>
              <w:rPr>
                <w:rFonts w:hint="eastAsia" w:ascii="仿宋" w:hAnsi="仿宋" w:cs="仿宋"/>
                <w:szCs w:val="21"/>
              </w:rPr>
            </w:pPr>
            <w:r>
              <w:rPr>
                <w:rFonts w:hint="eastAsia" w:ascii="仿宋" w:hAnsi="仿宋" w:cs="仿宋"/>
                <w:szCs w:val="21"/>
              </w:rPr>
              <w:t>（6）利用绩效评价谋取不正当利益的；</w:t>
            </w:r>
          </w:p>
          <w:p w14:paraId="566D95F7">
            <w:pPr>
              <w:tabs>
                <w:tab w:val="left" w:pos="0"/>
              </w:tabs>
              <w:adjustRightInd w:val="0"/>
              <w:snapToGrid w:val="0"/>
              <w:ind w:firstLine="420" w:firstLineChars="200"/>
              <w:jc w:val="left"/>
              <w:rPr>
                <w:rFonts w:hint="eastAsia" w:ascii="仿宋" w:hAnsi="仿宋" w:cs="仿宋"/>
                <w:szCs w:val="21"/>
              </w:rPr>
            </w:pPr>
            <w:r>
              <w:rPr>
                <w:rFonts w:hint="eastAsia" w:ascii="仿宋" w:hAnsi="仿宋" w:cs="仿宋"/>
                <w:szCs w:val="21"/>
              </w:rPr>
              <w:t xml:space="preserve">（7）违反法律、法规、规章的其他行为。            </w:t>
            </w:r>
          </w:p>
        </w:tc>
        <w:tc>
          <w:tcPr>
            <w:tcW w:w="0" w:type="auto"/>
            <w:tcBorders>
              <w:top w:val="single" w:color="auto" w:sz="4" w:space="0"/>
              <w:left w:val="single" w:color="auto" w:sz="4" w:space="0"/>
              <w:bottom w:val="single" w:color="auto" w:sz="4" w:space="0"/>
              <w:right w:val="single" w:color="auto" w:sz="4" w:space="0"/>
            </w:tcBorders>
            <w:vAlign w:val="center"/>
          </w:tcPr>
          <w:p w14:paraId="2F1A0F4F">
            <w:pPr>
              <w:tabs>
                <w:tab w:val="left" w:pos="-75"/>
              </w:tabs>
              <w:spacing w:line="240" w:lineRule="exact"/>
              <w:ind w:right="-57" w:rightChars="-27"/>
              <w:jc w:val="center"/>
              <w:rPr>
                <w:rFonts w:hint="eastAsia" w:ascii="仿宋" w:hAnsi="仿宋" w:cs="仿宋"/>
                <w:szCs w:val="21"/>
              </w:rPr>
            </w:pPr>
            <w:r>
              <w:rPr>
                <w:rFonts w:hint="eastAsia" w:ascii="仿宋" w:hAnsi="仿宋" w:cs="仿宋"/>
                <w:szCs w:val="21"/>
              </w:rPr>
              <w:t>无偏离</w:t>
            </w:r>
          </w:p>
        </w:tc>
        <w:tc>
          <w:tcPr>
            <w:tcW w:w="0" w:type="auto"/>
            <w:tcBorders>
              <w:top w:val="single" w:color="auto" w:sz="4" w:space="0"/>
              <w:left w:val="single" w:color="auto" w:sz="4" w:space="0"/>
              <w:bottom w:val="single" w:color="auto" w:sz="4" w:space="0"/>
              <w:right w:val="single" w:color="auto" w:sz="4" w:space="0"/>
            </w:tcBorders>
            <w:vAlign w:val="center"/>
          </w:tcPr>
          <w:p w14:paraId="67556493">
            <w:pPr>
              <w:tabs>
                <w:tab w:val="left" w:pos="-75"/>
              </w:tabs>
              <w:spacing w:line="240" w:lineRule="exact"/>
              <w:ind w:right="-57" w:rightChars="-27"/>
              <w:jc w:val="center"/>
              <w:rPr>
                <w:rFonts w:hint="eastAsia" w:ascii="仿宋" w:hAnsi="仿宋" w:cs="仿宋"/>
                <w:szCs w:val="21"/>
              </w:rPr>
            </w:pPr>
            <w:r>
              <w:rPr>
                <w:rFonts w:hint="eastAsia" w:ascii="仿宋" w:hAnsi="仿宋" w:cs="仿宋"/>
                <w:szCs w:val="21"/>
              </w:rPr>
              <w:t>无</w:t>
            </w:r>
          </w:p>
        </w:tc>
        <w:tc>
          <w:tcPr>
            <w:tcW w:w="0" w:type="auto"/>
            <w:tcBorders>
              <w:top w:val="single" w:color="auto" w:sz="4" w:space="0"/>
              <w:left w:val="single" w:color="auto" w:sz="4" w:space="0"/>
              <w:bottom w:val="single" w:color="auto" w:sz="4" w:space="0"/>
              <w:right w:val="single" w:color="auto" w:sz="4" w:space="0"/>
            </w:tcBorders>
            <w:vAlign w:val="center"/>
          </w:tcPr>
          <w:p w14:paraId="50CC64A2">
            <w:pPr>
              <w:tabs>
                <w:tab w:val="left" w:pos="-75"/>
              </w:tabs>
              <w:spacing w:line="240" w:lineRule="exact"/>
              <w:ind w:right="-57" w:rightChars="-27"/>
              <w:jc w:val="center"/>
              <w:rPr>
                <w:rFonts w:hint="eastAsia" w:ascii="仿宋" w:hAnsi="仿宋" w:cs="仿宋"/>
                <w:szCs w:val="21"/>
              </w:rPr>
            </w:pPr>
            <w:r>
              <w:rPr>
                <w:rFonts w:hint="eastAsia" w:ascii="仿宋" w:hAnsi="仿宋" w:cs="仿宋"/>
                <w:szCs w:val="21"/>
              </w:rPr>
              <w:t>详见响应文件第40页至最后一页</w:t>
            </w:r>
          </w:p>
        </w:tc>
      </w:tr>
      <w:tr w14:paraId="7CD09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3552" w:type="dxa"/>
            <w:tcBorders>
              <w:top w:val="single" w:color="auto" w:sz="4" w:space="0"/>
              <w:left w:val="single" w:color="auto" w:sz="4" w:space="0"/>
              <w:bottom w:val="single" w:color="auto" w:sz="4" w:space="0"/>
              <w:right w:val="single" w:color="auto" w:sz="4" w:space="0"/>
            </w:tcBorders>
            <w:vAlign w:val="center"/>
          </w:tcPr>
          <w:p w14:paraId="2AE58894">
            <w:pPr>
              <w:adjustRightInd w:val="0"/>
              <w:snapToGrid w:val="0"/>
              <w:ind w:hanging="1"/>
              <w:jc w:val="center"/>
              <w:rPr>
                <w:rFonts w:hint="eastAsia" w:ascii="仿宋" w:hAnsi="仿宋" w:cs="仿宋"/>
                <w:szCs w:val="21"/>
              </w:rPr>
            </w:pPr>
            <w:r>
              <w:rPr>
                <w:rFonts w:hint="eastAsia" w:ascii="仿宋" w:hAnsi="仿宋" w:cs="仿宋"/>
                <w:szCs w:val="21"/>
              </w:rPr>
              <w:t>其  它</w:t>
            </w:r>
          </w:p>
        </w:tc>
        <w:tc>
          <w:tcPr>
            <w:tcW w:w="3552" w:type="dxa"/>
            <w:tcBorders>
              <w:top w:val="single" w:color="auto" w:sz="4" w:space="0"/>
              <w:left w:val="single" w:color="auto" w:sz="4" w:space="0"/>
              <w:bottom w:val="single" w:color="auto" w:sz="4" w:space="0"/>
              <w:right w:val="single" w:color="auto" w:sz="4" w:space="0"/>
            </w:tcBorders>
            <w:vAlign w:val="center"/>
          </w:tcPr>
          <w:p w14:paraId="304E96A6">
            <w:pPr>
              <w:tabs>
                <w:tab w:val="left" w:pos="0"/>
              </w:tabs>
              <w:adjustRightInd w:val="0"/>
              <w:snapToGrid w:val="0"/>
              <w:jc w:val="left"/>
              <w:rPr>
                <w:rFonts w:hint="eastAsia" w:ascii="仿宋" w:hAnsi="仿宋" w:cs="仿宋"/>
                <w:szCs w:val="21"/>
              </w:rPr>
            </w:pPr>
            <w:r>
              <w:rPr>
                <w:rFonts w:hint="eastAsia" w:ascii="仿宋" w:hAnsi="仿宋" w:cs="仿宋"/>
                <w:szCs w:val="21"/>
              </w:rPr>
              <w:t>采购单位未提供需求而投标人认为需说明及补充的内容在此填列</w:t>
            </w:r>
          </w:p>
        </w:tc>
        <w:tc>
          <w:tcPr>
            <w:tcW w:w="418" w:type="dxa"/>
            <w:tcBorders>
              <w:top w:val="single" w:color="auto" w:sz="4" w:space="0"/>
              <w:left w:val="single" w:color="auto" w:sz="4" w:space="0"/>
              <w:bottom w:val="single" w:color="auto" w:sz="4" w:space="0"/>
              <w:right w:val="single" w:color="auto" w:sz="4" w:space="0"/>
            </w:tcBorders>
            <w:vAlign w:val="center"/>
          </w:tcPr>
          <w:p w14:paraId="66BA710D">
            <w:pPr>
              <w:tabs>
                <w:tab w:val="left" w:pos="-75"/>
              </w:tabs>
              <w:spacing w:line="240" w:lineRule="exact"/>
              <w:ind w:right="-57" w:rightChars="-27"/>
              <w:jc w:val="center"/>
              <w:rPr>
                <w:rFonts w:hint="eastAsia" w:ascii="仿宋" w:hAnsi="仿宋" w:cs="仿宋"/>
                <w:szCs w:val="21"/>
              </w:rPr>
            </w:pPr>
            <w:r>
              <w:rPr>
                <w:rFonts w:hint="eastAsia" w:ascii="仿宋" w:hAnsi="仿宋" w:cs="仿宋"/>
                <w:szCs w:val="21"/>
              </w:rPr>
              <w:t>无偏离</w:t>
            </w:r>
          </w:p>
        </w:tc>
        <w:tc>
          <w:tcPr>
            <w:tcW w:w="418" w:type="dxa"/>
            <w:tcBorders>
              <w:top w:val="single" w:color="auto" w:sz="4" w:space="0"/>
              <w:left w:val="single" w:color="auto" w:sz="4" w:space="0"/>
              <w:bottom w:val="single" w:color="auto" w:sz="4" w:space="0"/>
              <w:right w:val="single" w:color="auto" w:sz="4" w:space="0"/>
            </w:tcBorders>
            <w:vAlign w:val="center"/>
          </w:tcPr>
          <w:p w14:paraId="6C0A2F6A">
            <w:pPr>
              <w:tabs>
                <w:tab w:val="left" w:pos="-75"/>
              </w:tabs>
              <w:spacing w:line="240" w:lineRule="exact"/>
              <w:ind w:right="-57" w:rightChars="-27"/>
              <w:jc w:val="center"/>
              <w:rPr>
                <w:rFonts w:hint="eastAsia" w:ascii="仿宋" w:hAnsi="仿宋" w:cs="仿宋"/>
                <w:szCs w:val="21"/>
              </w:rPr>
            </w:pPr>
            <w:r>
              <w:rPr>
                <w:rFonts w:hint="eastAsia" w:ascii="仿宋" w:hAnsi="仿宋" w:cs="仿宋"/>
                <w:szCs w:val="21"/>
              </w:rPr>
              <w:t>无</w:t>
            </w:r>
          </w:p>
        </w:tc>
        <w:tc>
          <w:tcPr>
            <w:tcW w:w="592" w:type="dxa"/>
            <w:tcBorders>
              <w:top w:val="single" w:color="auto" w:sz="4" w:space="0"/>
              <w:left w:val="single" w:color="auto" w:sz="4" w:space="0"/>
              <w:bottom w:val="single" w:color="auto" w:sz="4" w:space="0"/>
              <w:right w:val="single" w:color="auto" w:sz="4" w:space="0"/>
            </w:tcBorders>
            <w:vAlign w:val="center"/>
          </w:tcPr>
          <w:p w14:paraId="3B0A3B43">
            <w:pPr>
              <w:tabs>
                <w:tab w:val="left" w:pos="-75"/>
              </w:tabs>
              <w:spacing w:line="240" w:lineRule="exact"/>
              <w:ind w:right="-57" w:rightChars="-27"/>
              <w:jc w:val="center"/>
              <w:rPr>
                <w:rFonts w:hint="eastAsia" w:ascii="仿宋" w:hAnsi="仿宋" w:cs="仿宋"/>
                <w:szCs w:val="21"/>
              </w:rPr>
            </w:pPr>
            <w:r>
              <w:rPr>
                <w:rFonts w:hint="eastAsia" w:ascii="仿宋" w:hAnsi="仿宋" w:cs="仿宋"/>
                <w:szCs w:val="21"/>
              </w:rPr>
              <w:t>无</w:t>
            </w:r>
          </w:p>
        </w:tc>
      </w:tr>
    </w:tbl>
    <w:p w14:paraId="405B7DB9">
      <w:pPr>
        <w:tabs>
          <w:tab w:val="left" w:pos="2520"/>
        </w:tabs>
        <w:adjustRightInd w:val="0"/>
        <w:snapToGrid w:val="0"/>
        <w:spacing w:line="360" w:lineRule="auto"/>
        <w:rPr>
          <w:rFonts w:hint="eastAsia" w:ascii="仿宋" w:hAnsi="仿宋" w:cs="仿宋"/>
          <w:b/>
          <w:bCs/>
          <w:sz w:val="32"/>
          <w:szCs w:val="32"/>
        </w:rPr>
      </w:pPr>
    </w:p>
    <w:p w14:paraId="0EAE79A3">
      <w:pPr>
        <w:adjustRightInd w:val="0"/>
        <w:snapToGrid w:val="0"/>
        <w:spacing w:line="360" w:lineRule="auto"/>
        <w:ind w:right="105" w:rightChars="50"/>
        <w:jc w:val="left"/>
        <w:rPr>
          <w:rFonts w:hint="eastAsia" w:ascii="仿宋" w:hAnsi="仿宋" w:cs="仿宋"/>
          <w:b/>
          <w:sz w:val="24"/>
        </w:rPr>
      </w:pPr>
      <w:r>
        <w:rPr>
          <w:rFonts w:hint="eastAsia" w:ascii="仿宋" w:hAnsi="仿宋" w:cs="仿宋"/>
          <w:b/>
          <w:sz w:val="24"/>
        </w:rPr>
        <w:t>填表要求：</w:t>
      </w:r>
    </w:p>
    <w:p w14:paraId="5E0BE478">
      <w:pPr>
        <w:adjustRightInd w:val="0"/>
        <w:snapToGrid w:val="0"/>
        <w:spacing w:line="360" w:lineRule="auto"/>
        <w:rPr>
          <w:rFonts w:hint="eastAsia" w:ascii="仿宋" w:hAnsi="仿宋" w:cs="仿宋"/>
          <w:sz w:val="24"/>
        </w:rPr>
      </w:pPr>
      <w:r>
        <w:rPr>
          <w:rFonts w:hint="eastAsia" w:ascii="仿宋" w:hAnsi="仿宋" w:cs="仿宋"/>
          <w:sz w:val="24"/>
        </w:rPr>
        <w:t>1．“投标文件响应内容”一栏由投标人按照招标文件要求填写并进行逐项响应。</w:t>
      </w:r>
    </w:p>
    <w:p w14:paraId="35D9C72D">
      <w:pPr>
        <w:adjustRightInd w:val="0"/>
        <w:snapToGrid w:val="0"/>
        <w:spacing w:line="360" w:lineRule="auto"/>
        <w:rPr>
          <w:rFonts w:hint="eastAsia" w:ascii="仿宋" w:hAnsi="仿宋" w:cs="仿宋"/>
          <w:spacing w:val="-11"/>
          <w:sz w:val="24"/>
        </w:rPr>
      </w:pPr>
      <w:r>
        <w:rPr>
          <w:rFonts w:hint="eastAsia" w:ascii="仿宋" w:hAnsi="仿宋" w:cs="仿宋"/>
          <w:spacing w:val="-11"/>
          <w:sz w:val="24"/>
        </w:rPr>
        <w:t>2．“偏离程度”一栏根据“投标文件响应内容”与招标文件逐项对照的结果填写。偏离必须用 “正偏离、负偏离或无偏离”三个名称中的一种进行标注。</w:t>
      </w:r>
    </w:p>
    <w:p w14:paraId="4BA12D8E">
      <w:pPr>
        <w:adjustRightInd w:val="0"/>
        <w:snapToGrid w:val="0"/>
        <w:spacing w:line="360" w:lineRule="auto"/>
        <w:rPr>
          <w:rFonts w:hint="eastAsia" w:ascii="仿宋" w:hAnsi="仿宋" w:cs="仿宋"/>
          <w:sz w:val="24"/>
        </w:rPr>
      </w:pPr>
      <w:r>
        <w:rPr>
          <w:rFonts w:hint="eastAsia" w:ascii="仿宋" w:hAnsi="仿宋" w:cs="仿宋"/>
          <w:sz w:val="24"/>
        </w:rPr>
        <w:t>3．“偏离说明”一栏由投标人对偏离的情况做详细说明。</w:t>
      </w:r>
    </w:p>
    <w:p w14:paraId="161AF71F">
      <w:pPr>
        <w:pStyle w:val="3"/>
        <w:rPr>
          <w:rFonts w:hint="eastAsia" w:ascii="仿宋" w:hAnsi="仿宋" w:cs="仿宋"/>
          <w:b/>
          <w:bCs/>
          <w:sz w:val="32"/>
          <w:szCs w:val="32"/>
        </w:rPr>
      </w:pPr>
    </w:p>
    <w:p w14:paraId="26D0C08D">
      <w:pPr>
        <w:pStyle w:val="4"/>
        <w:ind w:left="5250"/>
        <w:rPr>
          <w:rFonts w:hint="eastAsia" w:ascii="仿宋" w:hAnsi="仿宋" w:eastAsia="仿宋" w:cs="仿宋"/>
        </w:rPr>
      </w:pPr>
    </w:p>
    <w:p w14:paraId="006E90D4">
      <w:pPr>
        <w:pStyle w:val="3"/>
        <w:rPr>
          <w:rFonts w:hint="eastAsia" w:ascii="仿宋" w:hAnsi="仿宋" w:cs="仿宋"/>
          <w:sz w:val="24"/>
        </w:rPr>
      </w:pPr>
    </w:p>
    <w:p w14:paraId="0DF71B43">
      <w:pPr>
        <w:pStyle w:val="3"/>
        <w:rPr>
          <w:rFonts w:hint="eastAsia" w:ascii="仿宋" w:hAnsi="仿宋" w:cs="仿宋"/>
          <w:sz w:val="24"/>
        </w:rPr>
      </w:pPr>
    </w:p>
    <w:p w14:paraId="3A83671A">
      <w:pPr>
        <w:snapToGrid w:val="0"/>
        <w:spacing w:line="360" w:lineRule="auto"/>
        <w:rPr>
          <w:rFonts w:hint="eastAsia" w:ascii="仿宋" w:hAnsi="仿宋" w:cs="仿宋"/>
          <w:sz w:val="24"/>
        </w:rPr>
      </w:pPr>
      <w:r>
        <w:rPr>
          <w:rFonts w:hint="eastAsia" w:ascii="仿宋" w:hAnsi="仿宋" w:cs="仿宋"/>
          <w:sz w:val="24"/>
        </w:rPr>
        <w:t>投标人名称（加盖单位公章）：</w:t>
      </w:r>
      <w:r>
        <w:rPr>
          <w:rFonts w:hint="eastAsia" w:ascii="仿宋" w:hAnsi="仿宋" w:cs="仿宋"/>
          <w:sz w:val="24"/>
          <w:u w:val="single"/>
        </w:rPr>
        <w:t xml:space="preserve"> 辽宁润致会计师事务所（普通合伙）          </w:t>
      </w:r>
    </w:p>
    <w:p w14:paraId="52C04940">
      <w:pPr>
        <w:snapToGrid w:val="0"/>
        <w:spacing w:line="360" w:lineRule="auto"/>
        <w:rPr>
          <w:rFonts w:hint="eastAsia" w:ascii="仿宋" w:hAnsi="仿宋" w:cs="仿宋"/>
          <w:sz w:val="24"/>
        </w:rPr>
      </w:pPr>
      <w:r>
        <w:rPr>
          <w:rFonts w:hint="eastAsia" w:ascii="仿宋" w:hAnsi="仿宋" w:cs="仿宋"/>
          <w:sz w:val="24"/>
        </w:rPr>
        <w:t>法定代表人（或非法人组织负责人）或其授权委托人(签字或盖章)：</w:t>
      </w:r>
      <w:r>
        <w:rPr>
          <w:rFonts w:hint="eastAsia" w:ascii="仿宋" w:hAnsi="仿宋" w:cs="仿宋"/>
          <w:sz w:val="24"/>
          <w:u w:val="single"/>
        </w:rPr>
        <w:t xml:space="preserve">           </w:t>
      </w:r>
    </w:p>
    <w:p w14:paraId="534A14C3">
      <w:pPr>
        <w:adjustRightInd w:val="0"/>
        <w:snapToGrid w:val="0"/>
        <w:spacing w:line="360" w:lineRule="auto"/>
        <w:ind w:right="105" w:rightChars="50"/>
        <w:jc w:val="left"/>
        <w:rPr>
          <w:rFonts w:hint="eastAsia" w:ascii="仿宋" w:hAnsi="仿宋" w:cs="仿宋"/>
          <w:sz w:val="24"/>
          <w:u w:val="single"/>
        </w:rPr>
      </w:pPr>
      <w:r>
        <w:rPr>
          <w:rFonts w:hint="eastAsia" w:ascii="仿宋" w:hAnsi="仿宋" w:cs="仿宋"/>
          <w:sz w:val="24"/>
        </w:rPr>
        <w:t>日期：</w:t>
      </w:r>
      <w:r>
        <w:rPr>
          <w:rFonts w:hint="eastAsia" w:ascii="仿宋" w:hAnsi="仿宋" w:cs="仿宋"/>
          <w:sz w:val="24"/>
          <w:u w:val="single"/>
        </w:rPr>
        <w:t xml:space="preserve">  2023.10.07     </w:t>
      </w:r>
    </w:p>
    <w:p w14:paraId="66719116">
      <w:pPr>
        <w:rPr>
          <w:rFonts w:hint="eastAsia" w:ascii="仿宋" w:hAnsi="仿宋" w:cs="仿宋"/>
          <w:sz w:val="24"/>
        </w:rPr>
      </w:pPr>
    </w:p>
    <w:p w14:paraId="335654E5">
      <w:pPr>
        <w:pStyle w:val="3"/>
        <w:rPr>
          <w:rFonts w:hint="eastAsia" w:ascii="仿宋" w:hAnsi="仿宋" w:cs="仿宋"/>
        </w:rPr>
      </w:pPr>
    </w:p>
    <w:p w14:paraId="2427FC84">
      <w:pPr>
        <w:rPr>
          <w:rFonts w:hint="eastAsia" w:ascii="仿宋" w:hAnsi="仿宋" w:cs="仿宋"/>
        </w:rPr>
      </w:pPr>
    </w:p>
    <w:p w14:paraId="637AAF69">
      <w:pPr>
        <w:pStyle w:val="3"/>
        <w:rPr>
          <w:rFonts w:hint="eastAsia" w:ascii="仿宋" w:hAnsi="仿宋" w:cs="仿宋"/>
        </w:rPr>
      </w:pPr>
    </w:p>
    <w:p w14:paraId="4F572B84">
      <w:pPr>
        <w:rPr>
          <w:rFonts w:hint="eastAsia" w:ascii="仿宋" w:hAnsi="仿宋" w:cs="仿宋"/>
        </w:rPr>
      </w:pPr>
    </w:p>
    <w:p w14:paraId="2086FC78">
      <w:pPr>
        <w:pStyle w:val="3"/>
        <w:rPr>
          <w:rFonts w:hint="eastAsia" w:ascii="仿宋" w:hAnsi="仿宋" w:cs="仿宋"/>
        </w:rPr>
      </w:pPr>
    </w:p>
    <w:p w14:paraId="3AF19B64">
      <w:pPr>
        <w:pStyle w:val="2"/>
        <w:rPr>
          <w:rFonts w:hint="eastAsia" w:ascii="仿宋" w:hAnsi="仿宋" w:eastAsia="仿宋" w:cs="仿宋"/>
        </w:rPr>
        <w:sectPr>
          <w:footerReference r:id="rId3" w:type="default"/>
          <w:pgSz w:w="11906" w:h="16838"/>
          <w:pgMar w:top="1440" w:right="1800" w:bottom="1440" w:left="1800" w:header="851" w:footer="992" w:gutter="0"/>
          <w:pgNumType w:start="1"/>
          <w:cols w:space="720" w:num="1"/>
          <w:docGrid w:type="lines" w:linePitch="312" w:charSpace="0"/>
        </w:sectPr>
      </w:pPr>
      <w:bookmarkStart w:id="7" w:name="_Toc21113"/>
    </w:p>
    <w:p w14:paraId="75549FB3">
      <w:pPr>
        <w:pStyle w:val="2"/>
        <w:rPr>
          <w:rFonts w:hint="eastAsia" w:ascii="仿宋" w:hAnsi="仿宋" w:eastAsia="仿宋" w:cs="仿宋"/>
        </w:rPr>
      </w:pPr>
      <w:r>
        <w:rPr>
          <w:rFonts w:hint="eastAsia" w:ascii="仿宋" w:hAnsi="仿宋" w:eastAsia="仿宋" w:cs="仿宋"/>
        </w:rPr>
        <w:t>商务条款偏离表</w:t>
      </w:r>
      <w:bookmarkEnd w:id="7"/>
    </w:p>
    <w:p w14:paraId="61F8A0C0">
      <w:pPr>
        <w:adjustRightInd w:val="0"/>
        <w:snapToGrid w:val="0"/>
        <w:spacing w:line="360" w:lineRule="auto"/>
        <w:ind w:right="105" w:rightChars="50"/>
        <w:jc w:val="left"/>
        <w:rPr>
          <w:rFonts w:hint="eastAsia" w:ascii="仿宋" w:hAnsi="仿宋" w:cs="仿宋"/>
          <w:b/>
          <w:bCs/>
          <w:sz w:val="24"/>
        </w:rPr>
      </w:pPr>
      <w:r>
        <w:rPr>
          <w:rFonts w:hint="eastAsia" w:ascii="仿宋" w:hAnsi="仿宋" w:cs="仿宋"/>
          <w:b/>
          <w:bCs/>
          <w:sz w:val="24"/>
        </w:rPr>
        <w:t>包号： 005包</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3478"/>
        <w:gridCol w:w="3479"/>
        <w:gridCol w:w="431"/>
        <w:gridCol w:w="486"/>
      </w:tblGrid>
      <w:tr w14:paraId="7D37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619" w:type="dxa"/>
            <w:vAlign w:val="center"/>
          </w:tcPr>
          <w:p w14:paraId="47854F28">
            <w:pPr>
              <w:adjustRightInd w:val="0"/>
              <w:snapToGrid w:val="0"/>
              <w:ind w:right="-48" w:rightChars="-23"/>
              <w:jc w:val="center"/>
              <w:rPr>
                <w:rFonts w:hint="eastAsia" w:ascii="仿宋" w:hAnsi="仿宋" w:cs="仿宋"/>
                <w:sz w:val="24"/>
              </w:rPr>
            </w:pPr>
            <w:r>
              <w:rPr>
                <w:rFonts w:hint="eastAsia" w:ascii="仿宋" w:hAnsi="仿宋" w:cs="仿宋"/>
                <w:sz w:val="24"/>
              </w:rPr>
              <w:t>序号</w:t>
            </w:r>
          </w:p>
        </w:tc>
        <w:tc>
          <w:tcPr>
            <w:tcW w:w="3478" w:type="dxa"/>
            <w:vAlign w:val="center"/>
          </w:tcPr>
          <w:p w14:paraId="3D6C309A">
            <w:pPr>
              <w:adjustRightInd w:val="0"/>
              <w:snapToGrid w:val="0"/>
              <w:ind w:right="-73" w:rightChars="-35"/>
              <w:jc w:val="center"/>
              <w:rPr>
                <w:rFonts w:hint="eastAsia" w:ascii="仿宋" w:hAnsi="仿宋" w:cs="仿宋"/>
                <w:sz w:val="24"/>
              </w:rPr>
            </w:pPr>
            <w:r>
              <w:rPr>
                <w:rFonts w:hint="eastAsia" w:ascii="仿宋" w:hAnsi="仿宋" w:cs="仿宋"/>
                <w:sz w:val="24"/>
              </w:rPr>
              <w:t>采购文件的商务条款</w:t>
            </w:r>
          </w:p>
          <w:p w14:paraId="3599A18F">
            <w:pPr>
              <w:adjustRightInd w:val="0"/>
              <w:snapToGrid w:val="0"/>
              <w:ind w:right="-73" w:rightChars="-35"/>
              <w:jc w:val="center"/>
              <w:rPr>
                <w:rFonts w:hint="eastAsia" w:ascii="仿宋" w:hAnsi="仿宋" w:cs="仿宋"/>
                <w:sz w:val="24"/>
              </w:rPr>
            </w:pPr>
            <w:r>
              <w:rPr>
                <w:rFonts w:hint="eastAsia" w:ascii="仿宋" w:hAnsi="仿宋" w:cs="仿宋"/>
                <w:sz w:val="24"/>
              </w:rPr>
              <w:t>（</w:t>
            </w:r>
            <w:r>
              <w:rPr>
                <w:rFonts w:hint="eastAsia" w:ascii="仿宋" w:hAnsi="仿宋" w:cs="仿宋"/>
                <w:b/>
                <w:sz w:val="24"/>
              </w:rPr>
              <w:t>实质性要求及重要指标用★标注，★标注项不得负偏离，如果负偏离，则响应文件无效。</w:t>
            </w:r>
            <w:r>
              <w:rPr>
                <w:rFonts w:hint="eastAsia" w:ascii="仿宋" w:hAnsi="仿宋" w:cs="仿宋"/>
                <w:sz w:val="24"/>
              </w:rPr>
              <w:t>）</w:t>
            </w:r>
          </w:p>
        </w:tc>
        <w:tc>
          <w:tcPr>
            <w:tcW w:w="3479" w:type="dxa"/>
            <w:vAlign w:val="center"/>
          </w:tcPr>
          <w:p w14:paraId="6B4FD75D">
            <w:pPr>
              <w:adjustRightInd w:val="0"/>
              <w:snapToGrid w:val="0"/>
              <w:ind w:right="-107" w:rightChars="-51"/>
              <w:jc w:val="center"/>
              <w:rPr>
                <w:rFonts w:hint="eastAsia" w:ascii="仿宋" w:hAnsi="仿宋" w:cs="仿宋"/>
                <w:sz w:val="24"/>
              </w:rPr>
            </w:pPr>
            <w:r>
              <w:rPr>
                <w:rFonts w:hint="eastAsia" w:ascii="仿宋" w:hAnsi="仿宋" w:cs="仿宋"/>
                <w:sz w:val="24"/>
              </w:rPr>
              <w:t>投标文件响应内容</w:t>
            </w:r>
          </w:p>
        </w:tc>
        <w:tc>
          <w:tcPr>
            <w:tcW w:w="431" w:type="dxa"/>
            <w:vAlign w:val="center"/>
          </w:tcPr>
          <w:p w14:paraId="5849CEBD">
            <w:pPr>
              <w:adjustRightInd w:val="0"/>
              <w:snapToGrid w:val="0"/>
              <w:ind w:right="-107" w:rightChars="-51"/>
              <w:jc w:val="center"/>
              <w:rPr>
                <w:rFonts w:hint="eastAsia" w:ascii="仿宋" w:hAnsi="仿宋" w:cs="仿宋"/>
                <w:sz w:val="24"/>
              </w:rPr>
            </w:pPr>
            <w:r>
              <w:rPr>
                <w:rFonts w:hint="eastAsia" w:ascii="仿宋" w:hAnsi="仿宋" w:cs="仿宋"/>
                <w:sz w:val="24"/>
              </w:rPr>
              <w:t>偏离程度</w:t>
            </w:r>
          </w:p>
        </w:tc>
        <w:tc>
          <w:tcPr>
            <w:tcW w:w="486" w:type="dxa"/>
            <w:vAlign w:val="center"/>
          </w:tcPr>
          <w:p w14:paraId="441FDCB1">
            <w:pPr>
              <w:adjustRightInd w:val="0"/>
              <w:snapToGrid w:val="0"/>
              <w:ind w:right="-107" w:rightChars="-51"/>
              <w:jc w:val="center"/>
              <w:rPr>
                <w:rFonts w:hint="eastAsia" w:ascii="仿宋" w:hAnsi="仿宋" w:cs="仿宋"/>
                <w:sz w:val="24"/>
              </w:rPr>
            </w:pPr>
            <w:r>
              <w:rPr>
                <w:rFonts w:hint="eastAsia" w:ascii="仿宋" w:hAnsi="仿宋" w:cs="仿宋"/>
                <w:sz w:val="24"/>
              </w:rPr>
              <w:t>偏离说明</w:t>
            </w:r>
          </w:p>
        </w:tc>
      </w:tr>
      <w:tr w14:paraId="31383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19" w:type="dxa"/>
            <w:vAlign w:val="center"/>
          </w:tcPr>
          <w:p w14:paraId="6332DB5C">
            <w:pPr>
              <w:adjustRightInd w:val="0"/>
              <w:snapToGrid w:val="0"/>
              <w:ind w:right="105" w:rightChars="50"/>
              <w:jc w:val="center"/>
              <w:rPr>
                <w:rFonts w:hint="eastAsia" w:ascii="仿宋" w:hAnsi="仿宋" w:cs="仿宋"/>
                <w:sz w:val="24"/>
              </w:rPr>
            </w:pPr>
            <w:r>
              <w:rPr>
                <w:rFonts w:hint="eastAsia" w:ascii="仿宋" w:hAnsi="仿宋" w:cs="仿宋"/>
                <w:b/>
                <w:sz w:val="24"/>
              </w:rPr>
              <w:t>★</w:t>
            </w:r>
            <w:r>
              <w:rPr>
                <w:rFonts w:hint="eastAsia" w:ascii="仿宋" w:hAnsi="仿宋" w:cs="仿宋"/>
                <w:sz w:val="24"/>
              </w:rPr>
              <w:t>1</w:t>
            </w:r>
          </w:p>
        </w:tc>
        <w:tc>
          <w:tcPr>
            <w:tcW w:w="3478" w:type="dxa"/>
            <w:vAlign w:val="center"/>
          </w:tcPr>
          <w:p w14:paraId="24859E08">
            <w:pPr>
              <w:adjustRightInd w:val="0"/>
              <w:snapToGrid w:val="0"/>
              <w:rPr>
                <w:rFonts w:hint="eastAsia" w:ascii="仿宋" w:hAnsi="仿宋" w:cs="仿宋"/>
                <w:sz w:val="24"/>
              </w:rPr>
            </w:pPr>
            <w:r>
              <w:rPr>
                <w:rFonts w:hint="eastAsia" w:ascii="仿宋" w:hAnsi="仿宋" w:cs="仿宋"/>
                <w:sz w:val="24"/>
              </w:rPr>
              <w:t>履约期限：签订合同之日起四个月。</w:t>
            </w:r>
          </w:p>
          <w:p w14:paraId="2F7D9086">
            <w:pPr>
              <w:adjustRightInd w:val="0"/>
              <w:snapToGrid w:val="0"/>
              <w:rPr>
                <w:rFonts w:hint="eastAsia" w:ascii="仿宋" w:hAnsi="仿宋" w:cs="仿宋"/>
                <w:sz w:val="24"/>
              </w:rPr>
            </w:pPr>
            <w:r>
              <w:rPr>
                <w:rFonts w:hint="eastAsia" w:ascii="仿宋" w:hAnsi="仿宋" w:cs="仿宋"/>
                <w:sz w:val="24"/>
              </w:rPr>
              <w:t>如在财政预算保证并且在采购单位对中标供应商服务认可的前提下，合同可续签一至二年，合同需一年一签，如遇政策调整按规定执行。</w:t>
            </w:r>
          </w:p>
        </w:tc>
        <w:tc>
          <w:tcPr>
            <w:tcW w:w="3479" w:type="dxa"/>
            <w:vAlign w:val="center"/>
          </w:tcPr>
          <w:p w14:paraId="4731AEA2">
            <w:pPr>
              <w:adjustRightInd w:val="0"/>
              <w:snapToGrid w:val="0"/>
              <w:rPr>
                <w:rFonts w:hint="eastAsia" w:ascii="仿宋" w:hAnsi="仿宋" w:cs="仿宋"/>
                <w:sz w:val="24"/>
              </w:rPr>
            </w:pPr>
            <w:r>
              <w:rPr>
                <w:rFonts w:hint="eastAsia" w:ascii="仿宋" w:hAnsi="仿宋" w:cs="仿宋"/>
                <w:sz w:val="24"/>
              </w:rPr>
              <w:t>履约期限：签订合同之日起四个月。</w:t>
            </w:r>
          </w:p>
          <w:p w14:paraId="00641D2C">
            <w:pPr>
              <w:adjustRightInd w:val="0"/>
              <w:snapToGrid w:val="0"/>
              <w:rPr>
                <w:rFonts w:hint="eastAsia" w:ascii="仿宋" w:hAnsi="仿宋" w:cs="仿宋"/>
                <w:sz w:val="24"/>
              </w:rPr>
            </w:pPr>
            <w:r>
              <w:rPr>
                <w:rFonts w:hint="eastAsia" w:ascii="仿宋" w:hAnsi="仿宋" w:cs="仿宋"/>
                <w:sz w:val="24"/>
              </w:rPr>
              <w:t>如在财政预算保证并且在采购单位对中标供应商服务认可的前提下，合同可续签一至二年，合同需一年一签，如遇政策调整按规定执行。</w:t>
            </w:r>
          </w:p>
        </w:tc>
        <w:tc>
          <w:tcPr>
            <w:tcW w:w="431" w:type="dxa"/>
            <w:vAlign w:val="center"/>
          </w:tcPr>
          <w:p w14:paraId="573EFE53">
            <w:pPr>
              <w:adjustRightInd w:val="0"/>
              <w:snapToGrid w:val="0"/>
              <w:ind w:right="105" w:rightChars="50"/>
              <w:jc w:val="center"/>
              <w:rPr>
                <w:rFonts w:hint="eastAsia" w:ascii="仿宋" w:hAnsi="仿宋" w:cs="仿宋"/>
                <w:sz w:val="24"/>
              </w:rPr>
            </w:pPr>
            <w:r>
              <w:rPr>
                <w:rFonts w:hint="eastAsia" w:ascii="仿宋" w:hAnsi="仿宋" w:cs="仿宋"/>
                <w:sz w:val="24"/>
              </w:rPr>
              <w:t>无偏离</w:t>
            </w:r>
          </w:p>
        </w:tc>
        <w:tc>
          <w:tcPr>
            <w:tcW w:w="486" w:type="dxa"/>
            <w:vAlign w:val="center"/>
          </w:tcPr>
          <w:p w14:paraId="5D546A96">
            <w:pPr>
              <w:adjustRightInd w:val="0"/>
              <w:snapToGrid w:val="0"/>
              <w:ind w:right="105" w:rightChars="50"/>
              <w:jc w:val="center"/>
              <w:rPr>
                <w:rFonts w:hint="eastAsia" w:ascii="仿宋" w:hAnsi="仿宋" w:cs="仿宋"/>
                <w:sz w:val="24"/>
              </w:rPr>
            </w:pPr>
            <w:r>
              <w:rPr>
                <w:rFonts w:hint="eastAsia" w:ascii="仿宋" w:hAnsi="仿宋" w:cs="仿宋"/>
                <w:sz w:val="24"/>
              </w:rPr>
              <w:t>无</w:t>
            </w:r>
          </w:p>
        </w:tc>
      </w:tr>
      <w:tr w14:paraId="1D4B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19" w:type="dxa"/>
            <w:vAlign w:val="center"/>
          </w:tcPr>
          <w:p w14:paraId="632D5172">
            <w:pPr>
              <w:adjustRightInd w:val="0"/>
              <w:snapToGrid w:val="0"/>
              <w:ind w:right="105" w:rightChars="50"/>
              <w:jc w:val="center"/>
              <w:rPr>
                <w:rFonts w:hint="eastAsia" w:ascii="仿宋" w:hAnsi="仿宋" w:cs="仿宋"/>
                <w:sz w:val="24"/>
              </w:rPr>
            </w:pPr>
            <w:r>
              <w:rPr>
                <w:rFonts w:hint="eastAsia" w:ascii="仿宋" w:hAnsi="仿宋" w:cs="仿宋"/>
                <w:b/>
                <w:sz w:val="24"/>
              </w:rPr>
              <w:t>★</w:t>
            </w:r>
            <w:r>
              <w:rPr>
                <w:rFonts w:hint="eastAsia" w:ascii="仿宋" w:hAnsi="仿宋" w:cs="仿宋"/>
                <w:sz w:val="24"/>
              </w:rPr>
              <w:t>2</w:t>
            </w:r>
          </w:p>
        </w:tc>
        <w:tc>
          <w:tcPr>
            <w:tcW w:w="3478" w:type="dxa"/>
            <w:vAlign w:val="center"/>
          </w:tcPr>
          <w:p w14:paraId="5C227854">
            <w:pPr>
              <w:adjustRightInd w:val="0"/>
              <w:snapToGrid w:val="0"/>
              <w:rPr>
                <w:rFonts w:hint="eastAsia" w:ascii="仿宋" w:hAnsi="仿宋" w:cs="仿宋"/>
                <w:sz w:val="24"/>
              </w:rPr>
            </w:pPr>
            <w:r>
              <w:rPr>
                <w:rFonts w:hint="eastAsia" w:ascii="仿宋" w:hAnsi="仿宋" w:cs="仿宋"/>
                <w:sz w:val="24"/>
              </w:rPr>
              <w:t>履约地点：采购人指定地点（鞍山境内）</w:t>
            </w:r>
          </w:p>
        </w:tc>
        <w:tc>
          <w:tcPr>
            <w:tcW w:w="3479" w:type="dxa"/>
            <w:vAlign w:val="center"/>
          </w:tcPr>
          <w:p w14:paraId="5A10039E">
            <w:pPr>
              <w:adjustRightInd w:val="0"/>
              <w:snapToGrid w:val="0"/>
              <w:rPr>
                <w:rFonts w:hint="eastAsia" w:ascii="仿宋" w:hAnsi="仿宋" w:cs="仿宋"/>
                <w:sz w:val="24"/>
              </w:rPr>
            </w:pPr>
            <w:r>
              <w:rPr>
                <w:rFonts w:hint="eastAsia" w:ascii="仿宋" w:hAnsi="仿宋" w:cs="仿宋"/>
                <w:sz w:val="24"/>
              </w:rPr>
              <w:t>履约地点：采购人指定地点（鞍山境内）</w:t>
            </w:r>
          </w:p>
        </w:tc>
        <w:tc>
          <w:tcPr>
            <w:tcW w:w="431" w:type="dxa"/>
            <w:vAlign w:val="center"/>
          </w:tcPr>
          <w:p w14:paraId="4170A977">
            <w:pPr>
              <w:adjustRightInd w:val="0"/>
              <w:snapToGrid w:val="0"/>
              <w:ind w:right="105" w:rightChars="50"/>
              <w:jc w:val="center"/>
              <w:rPr>
                <w:rFonts w:hint="eastAsia" w:ascii="仿宋" w:hAnsi="仿宋" w:cs="仿宋"/>
                <w:sz w:val="24"/>
              </w:rPr>
            </w:pPr>
            <w:r>
              <w:rPr>
                <w:rFonts w:hint="eastAsia" w:ascii="仿宋" w:hAnsi="仿宋" w:cs="仿宋"/>
                <w:sz w:val="24"/>
              </w:rPr>
              <w:t>无偏离</w:t>
            </w:r>
          </w:p>
        </w:tc>
        <w:tc>
          <w:tcPr>
            <w:tcW w:w="486" w:type="dxa"/>
            <w:vAlign w:val="center"/>
          </w:tcPr>
          <w:p w14:paraId="6316DFC7">
            <w:pPr>
              <w:adjustRightInd w:val="0"/>
              <w:snapToGrid w:val="0"/>
              <w:ind w:right="105" w:rightChars="50"/>
              <w:jc w:val="center"/>
              <w:rPr>
                <w:rFonts w:hint="eastAsia" w:ascii="仿宋" w:hAnsi="仿宋" w:cs="仿宋"/>
                <w:sz w:val="24"/>
              </w:rPr>
            </w:pPr>
            <w:r>
              <w:rPr>
                <w:rFonts w:hint="eastAsia" w:ascii="仿宋" w:hAnsi="仿宋" w:cs="仿宋"/>
                <w:sz w:val="24"/>
              </w:rPr>
              <w:t>无</w:t>
            </w:r>
          </w:p>
        </w:tc>
      </w:tr>
      <w:tr w14:paraId="7B9F7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19" w:type="dxa"/>
            <w:vAlign w:val="center"/>
          </w:tcPr>
          <w:p w14:paraId="727B4E27">
            <w:pPr>
              <w:adjustRightInd w:val="0"/>
              <w:snapToGrid w:val="0"/>
              <w:ind w:right="105" w:rightChars="50"/>
              <w:jc w:val="center"/>
              <w:rPr>
                <w:rFonts w:hint="eastAsia" w:ascii="仿宋" w:hAnsi="仿宋" w:cs="仿宋"/>
                <w:sz w:val="24"/>
              </w:rPr>
            </w:pPr>
            <w:r>
              <w:rPr>
                <w:rFonts w:hint="eastAsia" w:ascii="仿宋" w:hAnsi="仿宋" w:cs="仿宋"/>
                <w:b/>
                <w:sz w:val="24"/>
              </w:rPr>
              <w:t>★</w:t>
            </w:r>
            <w:r>
              <w:rPr>
                <w:rFonts w:hint="eastAsia" w:ascii="仿宋" w:hAnsi="仿宋" w:cs="仿宋"/>
                <w:sz w:val="24"/>
              </w:rPr>
              <w:t>3</w:t>
            </w:r>
          </w:p>
        </w:tc>
        <w:tc>
          <w:tcPr>
            <w:tcW w:w="3478" w:type="dxa"/>
            <w:vAlign w:val="center"/>
          </w:tcPr>
          <w:p w14:paraId="7E86869B">
            <w:pPr>
              <w:adjustRightInd w:val="0"/>
              <w:snapToGrid w:val="0"/>
              <w:rPr>
                <w:rFonts w:hint="eastAsia" w:ascii="仿宋" w:hAnsi="仿宋" w:cs="仿宋"/>
                <w:sz w:val="24"/>
              </w:rPr>
            </w:pPr>
            <w:r>
              <w:rPr>
                <w:rFonts w:hint="eastAsia" w:ascii="仿宋" w:hAnsi="仿宋" w:cs="仿宋"/>
                <w:sz w:val="24"/>
              </w:rPr>
              <w:t>付款方式及条件：</w:t>
            </w:r>
            <w:r>
              <w:rPr>
                <w:rFonts w:hint="eastAsia" w:ascii="仿宋" w:hAnsi="仿宋" w:cs="仿宋"/>
                <w:color w:val="000000"/>
                <w:sz w:val="24"/>
              </w:rPr>
              <w:t>经采购人验收合格后一次性支付。</w:t>
            </w:r>
          </w:p>
        </w:tc>
        <w:tc>
          <w:tcPr>
            <w:tcW w:w="3479" w:type="dxa"/>
            <w:vAlign w:val="center"/>
          </w:tcPr>
          <w:p w14:paraId="07FF0204">
            <w:pPr>
              <w:adjustRightInd w:val="0"/>
              <w:snapToGrid w:val="0"/>
              <w:rPr>
                <w:rFonts w:hint="eastAsia" w:ascii="仿宋" w:hAnsi="仿宋" w:cs="仿宋"/>
                <w:sz w:val="24"/>
              </w:rPr>
            </w:pPr>
            <w:r>
              <w:rPr>
                <w:rFonts w:hint="eastAsia" w:ascii="仿宋" w:hAnsi="仿宋" w:cs="仿宋"/>
                <w:sz w:val="24"/>
              </w:rPr>
              <w:t>付款方式及条件：</w:t>
            </w:r>
            <w:r>
              <w:rPr>
                <w:rFonts w:hint="eastAsia" w:ascii="仿宋" w:hAnsi="仿宋" w:cs="仿宋"/>
                <w:color w:val="000000"/>
                <w:sz w:val="24"/>
              </w:rPr>
              <w:t>经采购人验收合格后一次性支付。</w:t>
            </w:r>
          </w:p>
        </w:tc>
        <w:tc>
          <w:tcPr>
            <w:tcW w:w="431" w:type="dxa"/>
            <w:vAlign w:val="center"/>
          </w:tcPr>
          <w:p w14:paraId="30BAD54D">
            <w:pPr>
              <w:adjustRightInd w:val="0"/>
              <w:snapToGrid w:val="0"/>
              <w:ind w:right="105" w:rightChars="50"/>
              <w:jc w:val="center"/>
              <w:rPr>
                <w:rFonts w:hint="eastAsia" w:ascii="仿宋" w:hAnsi="仿宋" w:cs="仿宋"/>
                <w:sz w:val="24"/>
              </w:rPr>
            </w:pPr>
            <w:r>
              <w:rPr>
                <w:rFonts w:hint="eastAsia" w:ascii="仿宋" w:hAnsi="仿宋" w:cs="仿宋"/>
                <w:sz w:val="24"/>
              </w:rPr>
              <w:t>无偏离</w:t>
            </w:r>
          </w:p>
        </w:tc>
        <w:tc>
          <w:tcPr>
            <w:tcW w:w="486" w:type="dxa"/>
            <w:vAlign w:val="center"/>
          </w:tcPr>
          <w:p w14:paraId="542BE4D1">
            <w:pPr>
              <w:adjustRightInd w:val="0"/>
              <w:snapToGrid w:val="0"/>
              <w:ind w:right="105" w:rightChars="50"/>
              <w:jc w:val="center"/>
              <w:rPr>
                <w:rFonts w:hint="eastAsia" w:ascii="仿宋" w:hAnsi="仿宋" w:cs="仿宋"/>
                <w:sz w:val="24"/>
              </w:rPr>
            </w:pPr>
            <w:r>
              <w:rPr>
                <w:rFonts w:hint="eastAsia" w:ascii="仿宋" w:hAnsi="仿宋" w:cs="仿宋"/>
                <w:sz w:val="24"/>
              </w:rPr>
              <w:t>无</w:t>
            </w:r>
          </w:p>
        </w:tc>
      </w:tr>
      <w:tr w14:paraId="07589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jc w:val="center"/>
        </w:trPr>
        <w:tc>
          <w:tcPr>
            <w:tcW w:w="619" w:type="dxa"/>
            <w:vAlign w:val="center"/>
          </w:tcPr>
          <w:p w14:paraId="24AC364D">
            <w:pPr>
              <w:adjustRightInd w:val="0"/>
              <w:snapToGrid w:val="0"/>
              <w:ind w:right="105" w:rightChars="50"/>
              <w:jc w:val="center"/>
              <w:rPr>
                <w:rFonts w:hint="eastAsia" w:ascii="仿宋" w:hAnsi="仿宋" w:cs="仿宋"/>
                <w:sz w:val="24"/>
              </w:rPr>
            </w:pPr>
            <w:r>
              <w:rPr>
                <w:rFonts w:hint="eastAsia" w:ascii="仿宋" w:hAnsi="仿宋" w:cs="仿宋"/>
                <w:b/>
                <w:sz w:val="24"/>
              </w:rPr>
              <w:t>★</w:t>
            </w:r>
            <w:r>
              <w:rPr>
                <w:rFonts w:hint="eastAsia" w:ascii="仿宋" w:hAnsi="仿宋" w:cs="仿宋"/>
                <w:sz w:val="24"/>
              </w:rPr>
              <w:t>4</w:t>
            </w:r>
          </w:p>
        </w:tc>
        <w:tc>
          <w:tcPr>
            <w:tcW w:w="3478" w:type="dxa"/>
            <w:vAlign w:val="center"/>
          </w:tcPr>
          <w:p w14:paraId="7A4B19D3">
            <w:pPr>
              <w:adjustRightInd w:val="0"/>
              <w:snapToGrid w:val="0"/>
              <w:rPr>
                <w:rFonts w:hint="eastAsia" w:ascii="仿宋" w:hAnsi="仿宋" w:cs="仿宋"/>
                <w:color w:val="000000"/>
                <w:sz w:val="24"/>
              </w:rPr>
            </w:pPr>
            <w:r>
              <w:rPr>
                <w:rFonts w:hint="eastAsia" w:ascii="仿宋" w:hAnsi="仿宋" w:cs="仿宋"/>
                <w:sz w:val="24"/>
              </w:rPr>
              <w:t>验收标准：</w:t>
            </w:r>
            <w:r>
              <w:rPr>
                <w:rFonts w:hint="eastAsia" w:ascii="仿宋" w:hAnsi="仿宋" w:cs="仿宋"/>
                <w:color w:val="000000"/>
                <w:sz w:val="24"/>
              </w:rPr>
              <w:t>按照国家相关规定执行。</w:t>
            </w:r>
          </w:p>
          <w:p w14:paraId="53505D4E">
            <w:pPr>
              <w:adjustRightInd w:val="0"/>
              <w:snapToGrid w:val="0"/>
              <w:rPr>
                <w:rFonts w:hint="eastAsia" w:ascii="仿宋" w:hAnsi="仿宋" w:cs="仿宋"/>
                <w:sz w:val="24"/>
              </w:rPr>
            </w:pPr>
            <w:r>
              <w:rPr>
                <w:rFonts w:hint="eastAsia" w:ascii="仿宋" w:hAnsi="仿宋" w:cs="仿宋"/>
                <w:sz w:val="24"/>
              </w:rPr>
              <w:t>验收程序：</w:t>
            </w:r>
            <w:r>
              <w:rPr>
                <w:rFonts w:hint="eastAsia" w:ascii="仿宋" w:hAnsi="仿宋" w:cs="仿宋"/>
                <w:color w:val="000000"/>
                <w:sz w:val="24"/>
              </w:rPr>
              <w:t>按照《辽宁省政府采购履约验收管理办法》执行。</w:t>
            </w:r>
          </w:p>
          <w:p w14:paraId="5E6DA9D1">
            <w:pPr>
              <w:adjustRightInd w:val="0"/>
              <w:snapToGrid w:val="0"/>
              <w:rPr>
                <w:rFonts w:hint="eastAsia" w:ascii="仿宋" w:hAnsi="仿宋" w:cs="仿宋"/>
                <w:sz w:val="24"/>
              </w:rPr>
            </w:pPr>
            <w:r>
              <w:rPr>
                <w:rFonts w:hint="eastAsia" w:ascii="仿宋" w:hAnsi="仿宋" w:cs="仿宋"/>
                <w:sz w:val="24"/>
              </w:rPr>
              <w:t>验收报告：</w:t>
            </w:r>
            <w:r>
              <w:rPr>
                <w:rFonts w:hint="eastAsia" w:ascii="仿宋" w:hAnsi="仿宋" w:cs="仿宋"/>
                <w:color w:val="000000"/>
                <w:sz w:val="24"/>
              </w:rPr>
              <w:t>按照《辽宁省政府采购履约验收管理办法》执行。</w:t>
            </w:r>
          </w:p>
          <w:p w14:paraId="03681498">
            <w:pPr>
              <w:adjustRightInd w:val="0"/>
              <w:snapToGrid w:val="0"/>
              <w:rPr>
                <w:rFonts w:hint="eastAsia" w:ascii="仿宋" w:hAnsi="仿宋" w:cs="仿宋"/>
                <w:sz w:val="24"/>
              </w:rPr>
            </w:pPr>
            <w:r>
              <w:rPr>
                <w:rFonts w:hint="eastAsia" w:ascii="仿宋" w:hAnsi="仿宋" w:cs="仿宋"/>
                <w:sz w:val="24"/>
              </w:rPr>
              <w:t>组织验收主体：本项目的履约验收工作由采购人依法组织实施。</w:t>
            </w:r>
          </w:p>
        </w:tc>
        <w:tc>
          <w:tcPr>
            <w:tcW w:w="3479" w:type="dxa"/>
            <w:vAlign w:val="center"/>
          </w:tcPr>
          <w:p w14:paraId="7FD70127">
            <w:pPr>
              <w:adjustRightInd w:val="0"/>
              <w:snapToGrid w:val="0"/>
              <w:rPr>
                <w:rFonts w:hint="eastAsia" w:ascii="仿宋" w:hAnsi="仿宋" w:cs="仿宋"/>
                <w:color w:val="000000"/>
                <w:sz w:val="24"/>
              </w:rPr>
            </w:pPr>
            <w:r>
              <w:rPr>
                <w:rFonts w:hint="eastAsia" w:ascii="仿宋" w:hAnsi="仿宋" w:cs="仿宋"/>
                <w:sz w:val="24"/>
              </w:rPr>
              <w:t>验收标准：</w:t>
            </w:r>
            <w:r>
              <w:rPr>
                <w:rFonts w:hint="eastAsia" w:ascii="仿宋" w:hAnsi="仿宋" w:cs="仿宋"/>
                <w:color w:val="000000"/>
                <w:sz w:val="24"/>
              </w:rPr>
              <w:t>按照国家相关规定执行。</w:t>
            </w:r>
          </w:p>
          <w:p w14:paraId="3D793997">
            <w:pPr>
              <w:adjustRightInd w:val="0"/>
              <w:snapToGrid w:val="0"/>
              <w:rPr>
                <w:rFonts w:hint="eastAsia" w:ascii="仿宋" w:hAnsi="仿宋" w:cs="仿宋"/>
                <w:sz w:val="24"/>
              </w:rPr>
            </w:pPr>
            <w:r>
              <w:rPr>
                <w:rFonts w:hint="eastAsia" w:ascii="仿宋" w:hAnsi="仿宋" w:cs="仿宋"/>
                <w:sz w:val="24"/>
              </w:rPr>
              <w:t>验收程序：</w:t>
            </w:r>
            <w:r>
              <w:rPr>
                <w:rFonts w:hint="eastAsia" w:ascii="仿宋" w:hAnsi="仿宋" w:cs="仿宋"/>
                <w:color w:val="000000"/>
                <w:sz w:val="24"/>
              </w:rPr>
              <w:t>按照《辽宁省政府采购履约验收管理办法》执行。</w:t>
            </w:r>
          </w:p>
          <w:p w14:paraId="1F9775FC">
            <w:pPr>
              <w:adjustRightInd w:val="0"/>
              <w:snapToGrid w:val="0"/>
              <w:rPr>
                <w:rFonts w:hint="eastAsia" w:ascii="仿宋" w:hAnsi="仿宋" w:cs="仿宋"/>
                <w:sz w:val="24"/>
              </w:rPr>
            </w:pPr>
            <w:r>
              <w:rPr>
                <w:rFonts w:hint="eastAsia" w:ascii="仿宋" w:hAnsi="仿宋" w:cs="仿宋"/>
                <w:sz w:val="24"/>
              </w:rPr>
              <w:t>验收报告：</w:t>
            </w:r>
            <w:r>
              <w:rPr>
                <w:rFonts w:hint="eastAsia" w:ascii="仿宋" w:hAnsi="仿宋" w:cs="仿宋"/>
                <w:color w:val="000000"/>
                <w:sz w:val="24"/>
              </w:rPr>
              <w:t>按照《辽宁省政府采购履约验收管理办法》执行。</w:t>
            </w:r>
          </w:p>
          <w:p w14:paraId="417691DB">
            <w:pPr>
              <w:adjustRightInd w:val="0"/>
              <w:snapToGrid w:val="0"/>
              <w:rPr>
                <w:rFonts w:hint="eastAsia" w:ascii="仿宋" w:hAnsi="仿宋" w:cs="仿宋"/>
                <w:sz w:val="24"/>
              </w:rPr>
            </w:pPr>
            <w:r>
              <w:rPr>
                <w:rFonts w:hint="eastAsia" w:ascii="仿宋" w:hAnsi="仿宋" w:cs="仿宋"/>
                <w:sz w:val="24"/>
              </w:rPr>
              <w:t>组织验收主体：本项目的履约验收工作由采购人依法组织实施。</w:t>
            </w:r>
          </w:p>
        </w:tc>
        <w:tc>
          <w:tcPr>
            <w:tcW w:w="431" w:type="dxa"/>
            <w:vAlign w:val="center"/>
          </w:tcPr>
          <w:p w14:paraId="581688F3">
            <w:pPr>
              <w:adjustRightInd w:val="0"/>
              <w:snapToGrid w:val="0"/>
              <w:ind w:right="105" w:rightChars="50"/>
              <w:jc w:val="center"/>
              <w:rPr>
                <w:rFonts w:hint="eastAsia" w:ascii="仿宋" w:hAnsi="仿宋" w:cs="仿宋"/>
                <w:sz w:val="24"/>
              </w:rPr>
            </w:pPr>
            <w:r>
              <w:rPr>
                <w:rFonts w:hint="eastAsia" w:ascii="仿宋" w:hAnsi="仿宋" w:cs="仿宋"/>
                <w:sz w:val="24"/>
              </w:rPr>
              <w:t>无偏离</w:t>
            </w:r>
          </w:p>
        </w:tc>
        <w:tc>
          <w:tcPr>
            <w:tcW w:w="486" w:type="dxa"/>
            <w:vAlign w:val="center"/>
          </w:tcPr>
          <w:p w14:paraId="2871094E">
            <w:pPr>
              <w:adjustRightInd w:val="0"/>
              <w:snapToGrid w:val="0"/>
              <w:ind w:right="105" w:rightChars="50"/>
              <w:jc w:val="center"/>
              <w:rPr>
                <w:rFonts w:hint="eastAsia" w:ascii="仿宋" w:hAnsi="仿宋" w:cs="仿宋"/>
                <w:sz w:val="24"/>
              </w:rPr>
            </w:pPr>
            <w:r>
              <w:rPr>
                <w:rFonts w:hint="eastAsia" w:ascii="仿宋" w:hAnsi="仿宋" w:cs="仿宋"/>
                <w:sz w:val="24"/>
              </w:rPr>
              <w:t>无</w:t>
            </w:r>
          </w:p>
        </w:tc>
      </w:tr>
      <w:tr w14:paraId="66B6C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19" w:type="dxa"/>
            <w:vAlign w:val="center"/>
          </w:tcPr>
          <w:p w14:paraId="774E7F91">
            <w:pPr>
              <w:adjustRightInd w:val="0"/>
              <w:snapToGrid w:val="0"/>
              <w:ind w:right="105" w:rightChars="50"/>
              <w:jc w:val="center"/>
              <w:rPr>
                <w:rFonts w:hint="eastAsia" w:ascii="仿宋" w:hAnsi="仿宋" w:cs="仿宋"/>
                <w:color w:val="00B0F0"/>
                <w:sz w:val="24"/>
              </w:rPr>
            </w:pPr>
            <w:r>
              <w:rPr>
                <w:rFonts w:hint="eastAsia" w:ascii="仿宋" w:hAnsi="仿宋" w:cs="仿宋"/>
                <w:sz w:val="24"/>
              </w:rPr>
              <w:t>5</w:t>
            </w:r>
          </w:p>
        </w:tc>
        <w:tc>
          <w:tcPr>
            <w:tcW w:w="3478" w:type="dxa"/>
            <w:vAlign w:val="center"/>
          </w:tcPr>
          <w:p w14:paraId="108AFFAC">
            <w:pPr>
              <w:adjustRightInd w:val="0"/>
              <w:snapToGrid w:val="0"/>
              <w:rPr>
                <w:rFonts w:hint="eastAsia" w:ascii="仿宋" w:hAnsi="仿宋" w:cs="仿宋"/>
                <w:sz w:val="24"/>
              </w:rPr>
            </w:pPr>
            <w:r>
              <w:rPr>
                <w:rFonts w:hint="eastAsia" w:ascii="仿宋" w:hAnsi="仿宋" w:cs="仿宋"/>
                <w:sz w:val="24"/>
              </w:rPr>
              <w:t>质量保证期：（/）年</w:t>
            </w:r>
          </w:p>
        </w:tc>
        <w:tc>
          <w:tcPr>
            <w:tcW w:w="3479" w:type="dxa"/>
            <w:vAlign w:val="center"/>
          </w:tcPr>
          <w:p w14:paraId="01513562">
            <w:pPr>
              <w:adjustRightInd w:val="0"/>
              <w:snapToGrid w:val="0"/>
              <w:rPr>
                <w:rFonts w:hint="eastAsia" w:ascii="仿宋" w:hAnsi="仿宋" w:cs="仿宋"/>
                <w:sz w:val="24"/>
              </w:rPr>
            </w:pPr>
            <w:r>
              <w:rPr>
                <w:rFonts w:hint="eastAsia" w:ascii="仿宋" w:hAnsi="仿宋" w:cs="仿宋"/>
                <w:sz w:val="24"/>
              </w:rPr>
              <w:t>质量保证期：（/）年</w:t>
            </w:r>
          </w:p>
        </w:tc>
        <w:tc>
          <w:tcPr>
            <w:tcW w:w="431" w:type="dxa"/>
            <w:vAlign w:val="center"/>
          </w:tcPr>
          <w:p w14:paraId="7EA95D1E">
            <w:pPr>
              <w:adjustRightInd w:val="0"/>
              <w:snapToGrid w:val="0"/>
              <w:ind w:right="105" w:rightChars="50"/>
              <w:jc w:val="center"/>
              <w:rPr>
                <w:rFonts w:hint="eastAsia" w:ascii="仿宋" w:hAnsi="仿宋" w:cs="仿宋"/>
                <w:sz w:val="24"/>
              </w:rPr>
            </w:pPr>
            <w:r>
              <w:rPr>
                <w:rFonts w:hint="eastAsia" w:ascii="仿宋" w:hAnsi="仿宋" w:cs="仿宋"/>
                <w:sz w:val="24"/>
              </w:rPr>
              <w:t>无偏离</w:t>
            </w:r>
          </w:p>
        </w:tc>
        <w:tc>
          <w:tcPr>
            <w:tcW w:w="486" w:type="dxa"/>
            <w:vAlign w:val="center"/>
          </w:tcPr>
          <w:p w14:paraId="4340F2E3">
            <w:pPr>
              <w:adjustRightInd w:val="0"/>
              <w:snapToGrid w:val="0"/>
              <w:ind w:right="105" w:rightChars="50"/>
              <w:jc w:val="center"/>
              <w:rPr>
                <w:rFonts w:hint="eastAsia" w:ascii="仿宋" w:hAnsi="仿宋" w:cs="仿宋"/>
                <w:sz w:val="24"/>
              </w:rPr>
            </w:pPr>
            <w:r>
              <w:rPr>
                <w:rFonts w:hint="eastAsia" w:ascii="仿宋" w:hAnsi="仿宋" w:cs="仿宋"/>
                <w:sz w:val="24"/>
              </w:rPr>
              <w:t>无</w:t>
            </w:r>
          </w:p>
        </w:tc>
      </w:tr>
      <w:tr w14:paraId="12CC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619" w:type="dxa"/>
            <w:vAlign w:val="center"/>
          </w:tcPr>
          <w:p w14:paraId="20F76CAD">
            <w:pPr>
              <w:adjustRightInd w:val="0"/>
              <w:snapToGrid w:val="0"/>
              <w:ind w:right="105" w:rightChars="50"/>
              <w:jc w:val="center"/>
              <w:rPr>
                <w:rFonts w:hint="eastAsia" w:ascii="仿宋" w:hAnsi="仿宋" w:cs="仿宋"/>
                <w:sz w:val="24"/>
              </w:rPr>
            </w:pPr>
            <w:r>
              <w:rPr>
                <w:rFonts w:hint="eastAsia" w:ascii="仿宋" w:hAnsi="仿宋" w:cs="仿宋"/>
                <w:sz w:val="24"/>
              </w:rPr>
              <w:t>6</w:t>
            </w:r>
          </w:p>
        </w:tc>
        <w:tc>
          <w:tcPr>
            <w:tcW w:w="3478" w:type="dxa"/>
            <w:vAlign w:val="center"/>
          </w:tcPr>
          <w:p w14:paraId="03266DDD">
            <w:pPr>
              <w:adjustRightInd w:val="0"/>
              <w:snapToGrid w:val="0"/>
              <w:rPr>
                <w:rFonts w:hint="eastAsia" w:ascii="仿宋" w:hAnsi="仿宋" w:cs="仿宋"/>
                <w:sz w:val="24"/>
              </w:rPr>
            </w:pPr>
            <w:r>
              <w:rPr>
                <w:rFonts w:hint="eastAsia" w:ascii="仿宋" w:hAnsi="仿宋" w:cs="仿宋"/>
                <w:sz w:val="24"/>
              </w:rPr>
              <w:t>保修期内上门免费服务，终身维修，提供配件：（/）年</w:t>
            </w:r>
          </w:p>
        </w:tc>
        <w:tc>
          <w:tcPr>
            <w:tcW w:w="3479" w:type="dxa"/>
            <w:vAlign w:val="center"/>
          </w:tcPr>
          <w:p w14:paraId="44B768AC">
            <w:pPr>
              <w:adjustRightInd w:val="0"/>
              <w:snapToGrid w:val="0"/>
              <w:rPr>
                <w:rFonts w:hint="eastAsia" w:ascii="仿宋" w:hAnsi="仿宋" w:cs="仿宋"/>
                <w:sz w:val="24"/>
              </w:rPr>
            </w:pPr>
            <w:r>
              <w:rPr>
                <w:rFonts w:hint="eastAsia" w:ascii="仿宋" w:hAnsi="仿宋" w:cs="仿宋"/>
                <w:sz w:val="24"/>
              </w:rPr>
              <w:t>保修期内上门免费服务，终身维修，提供配件：（/）年</w:t>
            </w:r>
          </w:p>
        </w:tc>
        <w:tc>
          <w:tcPr>
            <w:tcW w:w="431" w:type="dxa"/>
            <w:vAlign w:val="center"/>
          </w:tcPr>
          <w:p w14:paraId="46BF4284">
            <w:pPr>
              <w:adjustRightInd w:val="0"/>
              <w:snapToGrid w:val="0"/>
              <w:ind w:right="105" w:rightChars="50"/>
              <w:jc w:val="center"/>
              <w:rPr>
                <w:rFonts w:hint="eastAsia" w:ascii="仿宋" w:hAnsi="仿宋" w:cs="仿宋"/>
                <w:sz w:val="24"/>
              </w:rPr>
            </w:pPr>
            <w:r>
              <w:rPr>
                <w:rFonts w:hint="eastAsia" w:ascii="仿宋" w:hAnsi="仿宋" w:cs="仿宋"/>
                <w:sz w:val="24"/>
              </w:rPr>
              <w:t>无偏离</w:t>
            </w:r>
          </w:p>
        </w:tc>
        <w:tc>
          <w:tcPr>
            <w:tcW w:w="486" w:type="dxa"/>
            <w:vAlign w:val="center"/>
          </w:tcPr>
          <w:p w14:paraId="5F556601">
            <w:pPr>
              <w:adjustRightInd w:val="0"/>
              <w:snapToGrid w:val="0"/>
              <w:ind w:right="105" w:rightChars="50"/>
              <w:jc w:val="center"/>
              <w:rPr>
                <w:rFonts w:hint="eastAsia" w:ascii="仿宋" w:hAnsi="仿宋" w:cs="仿宋"/>
                <w:sz w:val="24"/>
              </w:rPr>
            </w:pPr>
            <w:r>
              <w:rPr>
                <w:rFonts w:hint="eastAsia" w:ascii="仿宋" w:hAnsi="仿宋" w:cs="仿宋"/>
                <w:sz w:val="24"/>
              </w:rPr>
              <w:t>无</w:t>
            </w:r>
          </w:p>
        </w:tc>
      </w:tr>
      <w:tr w14:paraId="7F638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19" w:type="dxa"/>
            <w:vAlign w:val="center"/>
          </w:tcPr>
          <w:p w14:paraId="401106F6">
            <w:pPr>
              <w:adjustRightInd w:val="0"/>
              <w:snapToGrid w:val="0"/>
              <w:ind w:right="105" w:rightChars="50"/>
              <w:jc w:val="center"/>
              <w:rPr>
                <w:rFonts w:hint="eastAsia" w:ascii="仿宋" w:hAnsi="仿宋" w:cs="仿宋"/>
                <w:sz w:val="24"/>
              </w:rPr>
            </w:pPr>
            <w:r>
              <w:rPr>
                <w:rFonts w:hint="eastAsia" w:ascii="仿宋" w:hAnsi="仿宋" w:cs="仿宋"/>
                <w:sz w:val="24"/>
              </w:rPr>
              <w:t>7</w:t>
            </w:r>
          </w:p>
        </w:tc>
        <w:tc>
          <w:tcPr>
            <w:tcW w:w="3478" w:type="dxa"/>
            <w:vAlign w:val="center"/>
          </w:tcPr>
          <w:p w14:paraId="560ED26E">
            <w:pPr>
              <w:adjustRightInd w:val="0"/>
              <w:snapToGrid w:val="0"/>
              <w:ind w:hanging="1"/>
              <w:rPr>
                <w:rFonts w:hint="eastAsia" w:ascii="仿宋" w:hAnsi="仿宋" w:cs="仿宋"/>
                <w:sz w:val="24"/>
              </w:rPr>
            </w:pPr>
            <w:r>
              <w:rPr>
                <w:rFonts w:hint="eastAsia" w:ascii="仿宋" w:hAnsi="仿宋" w:cs="仿宋"/>
                <w:sz w:val="24"/>
              </w:rPr>
              <w:t>热线支持：</w:t>
            </w:r>
          </w:p>
          <w:p w14:paraId="09A685B8">
            <w:pPr>
              <w:adjustRightInd w:val="0"/>
              <w:snapToGrid w:val="0"/>
              <w:ind w:hanging="1"/>
              <w:rPr>
                <w:rFonts w:hint="eastAsia" w:ascii="仿宋" w:hAnsi="仿宋" w:cs="仿宋"/>
                <w:sz w:val="24"/>
              </w:rPr>
            </w:pPr>
            <w:r>
              <w:rPr>
                <w:rFonts w:hint="eastAsia" w:ascii="仿宋" w:hAnsi="仿宋" w:cs="仿宋"/>
                <w:b/>
                <w:sz w:val="24"/>
              </w:rPr>
              <w:t>★</w:t>
            </w:r>
            <w:r>
              <w:rPr>
                <w:rFonts w:hint="eastAsia" w:ascii="仿宋" w:hAnsi="仿宋" w:cs="仿宋"/>
                <w:sz w:val="24"/>
              </w:rPr>
              <w:t>现场支持：（0.5）小时内响应；（4）小时内到达</w:t>
            </w:r>
          </w:p>
        </w:tc>
        <w:tc>
          <w:tcPr>
            <w:tcW w:w="3479" w:type="dxa"/>
            <w:vAlign w:val="center"/>
          </w:tcPr>
          <w:p w14:paraId="7470A228">
            <w:pPr>
              <w:adjustRightInd w:val="0"/>
              <w:snapToGrid w:val="0"/>
              <w:ind w:hanging="1"/>
              <w:rPr>
                <w:rFonts w:hint="eastAsia" w:ascii="仿宋" w:hAnsi="仿宋" w:cs="仿宋"/>
                <w:sz w:val="24"/>
              </w:rPr>
            </w:pPr>
            <w:r>
              <w:rPr>
                <w:rFonts w:hint="eastAsia" w:ascii="仿宋" w:hAnsi="仿宋" w:cs="仿宋"/>
                <w:sz w:val="24"/>
              </w:rPr>
              <w:t>热线支持：</w:t>
            </w:r>
          </w:p>
          <w:p w14:paraId="074E58D8">
            <w:pPr>
              <w:adjustRightInd w:val="0"/>
              <w:snapToGrid w:val="0"/>
              <w:ind w:hanging="1"/>
              <w:rPr>
                <w:rFonts w:hint="eastAsia" w:ascii="仿宋" w:hAnsi="仿宋" w:cs="仿宋"/>
                <w:sz w:val="24"/>
              </w:rPr>
            </w:pPr>
            <w:r>
              <w:rPr>
                <w:rFonts w:hint="eastAsia" w:ascii="仿宋" w:hAnsi="仿宋" w:cs="仿宋"/>
                <w:b/>
                <w:sz w:val="24"/>
              </w:rPr>
              <w:t>★</w:t>
            </w:r>
            <w:r>
              <w:rPr>
                <w:rFonts w:hint="eastAsia" w:ascii="仿宋" w:hAnsi="仿宋" w:cs="仿宋"/>
                <w:sz w:val="24"/>
              </w:rPr>
              <w:t>现场支持：（0.5）小时内响应；（4）小时内到达</w:t>
            </w:r>
          </w:p>
        </w:tc>
        <w:tc>
          <w:tcPr>
            <w:tcW w:w="431" w:type="dxa"/>
            <w:vAlign w:val="center"/>
          </w:tcPr>
          <w:p w14:paraId="13375427">
            <w:pPr>
              <w:adjustRightInd w:val="0"/>
              <w:snapToGrid w:val="0"/>
              <w:ind w:right="105" w:rightChars="50"/>
              <w:jc w:val="center"/>
              <w:rPr>
                <w:rFonts w:hint="eastAsia" w:ascii="仿宋" w:hAnsi="仿宋" w:cs="仿宋"/>
                <w:sz w:val="24"/>
              </w:rPr>
            </w:pPr>
            <w:r>
              <w:rPr>
                <w:rFonts w:hint="eastAsia" w:ascii="仿宋" w:hAnsi="仿宋" w:cs="仿宋"/>
                <w:sz w:val="24"/>
              </w:rPr>
              <w:t>无偏离</w:t>
            </w:r>
          </w:p>
        </w:tc>
        <w:tc>
          <w:tcPr>
            <w:tcW w:w="486" w:type="dxa"/>
            <w:vAlign w:val="center"/>
          </w:tcPr>
          <w:p w14:paraId="7BF60FE1">
            <w:pPr>
              <w:adjustRightInd w:val="0"/>
              <w:snapToGrid w:val="0"/>
              <w:ind w:right="105" w:rightChars="50"/>
              <w:jc w:val="center"/>
              <w:rPr>
                <w:rFonts w:hint="eastAsia" w:ascii="仿宋" w:hAnsi="仿宋" w:cs="仿宋"/>
                <w:sz w:val="24"/>
              </w:rPr>
            </w:pPr>
            <w:r>
              <w:rPr>
                <w:rFonts w:hint="eastAsia" w:ascii="仿宋" w:hAnsi="仿宋" w:cs="仿宋"/>
                <w:sz w:val="24"/>
              </w:rPr>
              <w:t>无</w:t>
            </w:r>
          </w:p>
        </w:tc>
      </w:tr>
      <w:tr w14:paraId="730D7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19" w:type="dxa"/>
            <w:vAlign w:val="center"/>
          </w:tcPr>
          <w:p w14:paraId="377F6919">
            <w:pPr>
              <w:adjustRightInd w:val="0"/>
              <w:snapToGrid w:val="0"/>
              <w:ind w:right="105" w:rightChars="50"/>
              <w:jc w:val="center"/>
              <w:rPr>
                <w:rFonts w:hint="eastAsia" w:ascii="仿宋" w:hAnsi="仿宋" w:cs="仿宋"/>
                <w:sz w:val="24"/>
              </w:rPr>
            </w:pPr>
            <w:r>
              <w:rPr>
                <w:rFonts w:hint="eastAsia" w:ascii="仿宋" w:hAnsi="仿宋" w:cs="仿宋"/>
                <w:sz w:val="24"/>
              </w:rPr>
              <w:t>8</w:t>
            </w:r>
          </w:p>
        </w:tc>
        <w:tc>
          <w:tcPr>
            <w:tcW w:w="3478" w:type="dxa"/>
            <w:vAlign w:val="center"/>
          </w:tcPr>
          <w:p w14:paraId="281AE3FC">
            <w:pPr>
              <w:adjustRightInd w:val="0"/>
              <w:snapToGrid w:val="0"/>
              <w:ind w:hanging="1"/>
              <w:rPr>
                <w:rFonts w:hint="eastAsia" w:ascii="仿宋" w:hAnsi="仿宋" w:cs="仿宋"/>
                <w:sz w:val="24"/>
              </w:rPr>
            </w:pPr>
            <w:r>
              <w:rPr>
                <w:rFonts w:hint="eastAsia" w:ascii="仿宋" w:hAnsi="仿宋" w:cs="仿宋"/>
                <w:sz w:val="24"/>
              </w:rPr>
              <w:t>售后服务网络：无</w:t>
            </w:r>
          </w:p>
        </w:tc>
        <w:tc>
          <w:tcPr>
            <w:tcW w:w="3479" w:type="dxa"/>
            <w:vAlign w:val="center"/>
          </w:tcPr>
          <w:p w14:paraId="2F266E0B">
            <w:pPr>
              <w:adjustRightInd w:val="0"/>
              <w:snapToGrid w:val="0"/>
              <w:ind w:hanging="1"/>
              <w:rPr>
                <w:rFonts w:hint="eastAsia" w:ascii="仿宋" w:hAnsi="仿宋" w:cs="仿宋"/>
                <w:sz w:val="24"/>
              </w:rPr>
            </w:pPr>
            <w:r>
              <w:rPr>
                <w:rFonts w:hint="eastAsia" w:ascii="仿宋" w:hAnsi="仿宋" w:cs="仿宋"/>
                <w:sz w:val="24"/>
              </w:rPr>
              <w:t>售后服务网络：无</w:t>
            </w:r>
          </w:p>
        </w:tc>
        <w:tc>
          <w:tcPr>
            <w:tcW w:w="431" w:type="dxa"/>
            <w:vAlign w:val="center"/>
          </w:tcPr>
          <w:p w14:paraId="3CA5B3B3">
            <w:pPr>
              <w:adjustRightInd w:val="0"/>
              <w:snapToGrid w:val="0"/>
              <w:ind w:right="105" w:rightChars="50"/>
              <w:jc w:val="center"/>
              <w:rPr>
                <w:rFonts w:hint="eastAsia" w:ascii="仿宋" w:hAnsi="仿宋" w:cs="仿宋"/>
                <w:sz w:val="24"/>
              </w:rPr>
            </w:pPr>
            <w:r>
              <w:rPr>
                <w:rFonts w:hint="eastAsia" w:ascii="仿宋" w:hAnsi="仿宋" w:cs="仿宋"/>
                <w:sz w:val="24"/>
              </w:rPr>
              <w:t>无偏离</w:t>
            </w:r>
          </w:p>
        </w:tc>
        <w:tc>
          <w:tcPr>
            <w:tcW w:w="486" w:type="dxa"/>
            <w:vAlign w:val="center"/>
          </w:tcPr>
          <w:p w14:paraId="18E6C498">
            <w:pPr>
              <w:adjustRightInd w:val="0"/>
              <w:snapToGrid w:val="0"/>
              <w:ind w:right="105" w:rightChars="50"/>
              <w:jc w:val="center"/>
              <w:rPr>
                <w:rFonts w:hint="eastAsia" w:ascii="仿宋" w:hAnsi="仿宋" w:cs="仿宋"/>
                <w:sz w:val="24"/>
              </w:rPr>
            </w:pPr>
            <w:r>
              <w:rPr>
                <w:rFonts w:hint="eastAsia" w:ascii="仿宋" w:hAnsi="仿宋" w:cs="仿宋"/>
                <w:sz w:val="24"/>
              </w:rPr>
              <w:t>无</w:t>
            </w:r>
          </w:p>
        </w:tc>
      </w:tr>
      <w:tr w14:paraId="17ACB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619" w:type="dxa"/>
            <w:vAlign w:val="center"/>
          </w:tcPr>
          <w:p w14:paraId="186F248F">
            <w:pPr>
              <w:adjustRightInd w:val="0"/>
              <w:snapToGrid w:val="0"/>
              <w:ind w:right="105" w:rightChars="50"/>
              <w:jc w:val="center"/>
              <w:rPr>
                <w:rFonts w:hint="eastAsia" w:ascii="仿宋" w:hAnsi="仿宋" w:cs="仿宋"/>
                <w:sz w:val="24"/>
              </w:rPr>
            </w:pPr>
            <w:r>
              <w:rPr>
                <w:rFonts w:hint="eastAsia" w:ascii="仿宋" w:hAnsi="仿宋" w:cs="仿宋"/>
                <w:sz w:val="24"/>
              </w:rPr>
              <w:t>9</w:t>
            </w:r>
          </w:p>
        </w:tc>
        <w:tc>
          <w:tcPr>
            <w:tcW w:w="3478" w:type="dxa"/>
            <w:vAlign w:val="center"/>
          </w:tcPr>
          <w:p w14:paraId="001AFC3E">
            <w:pPr>
              <w:adjustRightInd w:val="0"/>
              <w:snapToGrid w:val="0"/>
              <w:ind w:hanging="1"/>
              <w:rPr>
                <w:rFonts w:hint="eastAsia" w:ascii="仿宋" w:hAnsi="仿宋" w:cs="仿宋"/>
                <w:sz w:val="24"/>
              </w:rPr>
            </w:pPr>
            <w:r>
              <w:rPr>
                <w:rFonts w:hint="eastAsia" w:ascii="仿宋" w:hAnsi="仿宋" w:cs="仿宋"/>
                <w:sz w:val="24"/>
              </w:rPr>
              <w:t>维修技术人员及设备方面的保证措施及收费标准的要求：无</w:t>
            </w:r>
          </w:p>
        </w:tc>
        <w:tc>
          <w:tcPr>
            <w:tcW w:w="3479" w:type="dxa"/>
            <w:vAlign w:val="center"/>
          </w:tcPr>
          <w:p w14:paraId="211258E6">
            <w:pPr>
              <w:adjustRightInd w:val="0"/>
              <w:snapToGrid w:val="0"/>
              <w:ind w:hanging="1"/>
              <w:rPr>
                <w:rFonts w:hint="eastAsia" w:ascii="仿宋" w:hAnsi="仿宋" w:cs="仿宋"/>
                <w:sz w:val="24"/>
              </w:rPr>
            </w:pPr>
            <w:r>
              <w:rPr>
                <w:rFonts w:hint="eastAsia" w:ascii="仿宋" w:hAnsi="仿宋" w:cs="仿宋"/>
                <w:sz w:val="24"/>
              </w:rPr>
              <w:t>维修技术人员及设备方面的保证措施及收费标准的要求：无</w:t>
            </w:r>
          </w:p>
        </w:tc>
        <w:tc>
          <w:tcPr>
            <w:tcW w:w="431" w:type="dxa"/>
            <w:vAlign w:val="center"/>
          </w:tcPr>
          <w:p w14:paraId="58978832">
            <w:pPr>
              <w:adjustRightInd w:val="0"/>
              <w:snapToGrid w:val="0"/>
              <w:ind w:right="105" w:rightChars="50"/>
              <w:jc w:val="center"/>
              <w:rPr>
                <w:rFonts w:hint="eastAsia" w:ascii="仿宋" w:hAnsi="仿宋" w:cs="仿宋"/>
                <w:sz w:val="24"/>
              </w:rPr>
            </w:pPr>
            <w:r>
              <w:rPr>
                <w:rFonts w:hint="eastAsia" w:ascii="仿宋" w:hAnsi="仿宋" w:cs="仿宋"/>
                <w:sz w:val="24"/>
              </w:rPr>
              <w:t>无偏离</w:t>
            </w:r>
          </w:p>
        </w:tc>
        <w:tc>
          <w:tcPr>
            <w:tcW w:w="486" w:type="dxa"/>
            <w:vAlign w:val="center"/>
          </w:tcPr>
          <w:p w14:paraId="5314A8C2">
            <w:pPr>
              <w:adjustRightInd w:val="0"/>
              <w:snapToGrid w:val="0"/>
              <w:ind w:right="105" w:rightChars="50"/>
              <w:jc w:val="center"/>
              <w:rPr>
                <w:rFonts w:hint="eastAsia" w:ascii="仿宋" w:hAnsi="仿宋" w:cs="仿宋"/>
                <w:sz w:val="24"/>
              </w:rPr>
            </w:pPr>
            <w:r>
              <w:rPr>
                <w:rFonts w:hint="eastAsia" w:ascii="仿宋" w:hAnsi="仿宋" w:cs="仿宋"/>
                <w:sz w:val="24"/>
              </w:rPr>
              <w:t>无</w:t>
            </w:r>
          </w:p>
        </w:tc>
      </w:tr>
      <w:tr w14:paraId="2F3F7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19" w:type="dxa"/>
            <w:vAlign w:val="center"/>
          </w:tcPr>
          <w:p w14:paraId="3D4F3749">
            <w:pPr>
              <w:adjustRightInd w:val="0"/>
              <w:snapToGrid w:val="0"/>
              <w:ind w:right="105" w:rightChars="50"/>
              <w:jc w:val="center"/>
              <w:rPr>
                <w:rFonts w:hint="eastAsia" w:ascii="仿宋" w:hAnsi="仿宋" w:cs="仿宋"/>
                <w:sz w:val="24"/>
              </w:rPr>
            </w:pPr>
            <w:r>
              <w:rPr>
                <w:rFonts w:hint="eastAsia" w:ascii="仿宋" w:hAnsi="仿宋" w:cs="仿宋"/>
                <w:sz w:val="24"/>
              </w:rPr>
              <w:t>10</w:t>
            </w:r>
          </w:p>
        </w:tc>
        <w:tc>
          <w:tcPr>
            <w:tcW w:w="3478" w:type="dxa"/>
            <w:vAlign w:val="center"/>
          </w:tcPr>
          <w:p w14:paraId="2588303C">
            <w:pPr>
              <w:adjustRightInd w:val="0"/>
              <w:snapToGrid w:val="0"/>
              <w:ind w:hanging="1"/>
              <w:rPr>
                <w:rFonts w:hint="eastAsia" w:ascii="仿宋" w:hAnsi="仿宋" w:cs="仿宋"/>
                <w:sz w:val="24"/>
              </w:rPr>
            </w:pPr>
            <w:r>
              <w:rPr>
                <w:rFonts w:hint="eastAsia" w:ascii="仿宋" w:hAnsi="仿宋" w:cs="仿宋"/>
                <w:sz w:val="24"/>
              </w:rPr>
              <w:t>备品备件供应及优惠价格要求：无</w:t>
            </w:r>
          </w:p>
        </w:tc>
        <w:tc>
          <w:tcPr>
            <w:tcW w:w="3479" w:type="dxa"/>
            <w:vAlign w:val="center"/>
          </w:tcPr>
          <w:p w14:paraId="0CD1E399">
            <w:pPr>
              <w:adjustRightInd w:val="0"/>
              <w:snapToGrid w:val="0"/>
              <w:ind w:hanging="1"/>
              <w:rPr>
                <w:rFonts w:hint="eastAsia" w:ascii="仿宋" w:hAnsi="仿宋" w:cs="仿宋"/>
                <w:sz w:val="24"/>
              </w:rPr>
            </w:pPr>
            <w:r>
              <w:rPr>
                <w:rFonts w:hint="eastAsia" w:ascii="仿宋" w:hAnsi="仿宋" w:cs="仿宋"/>
                <w:sz w:val="24"/>
              </w:rPr>
              <w:t>备品备件供应及优惠价格要求：无</w:t>
            </w:r>
          </w:p>
        </w:tc>
        <w:tc>
          <w:tcPr>
            <w:tcW w:w="431" w:type="dxa"/>
            <w:vAlign w:val="center"/>
          </w:tcPr>
          <w:p w14:paraId="7188D801">
            <w:pPr>
              <w:adjustRightInd w:val="0"/>
              <w:snapToGrid w:val="0"/>
              <w:ind w:right="105" w:rightChars="50"/>
              <w:jc w:val="center"/>
              <w:rPr>
                <w:rFonts w:hint="eastAsia" w:ascii="仿宋" w:hAnsi="仿宋" w:cs="仿宋"/>
                <w:sz w:val="24"/>
              </w:rPr>
            </w:pPr>
            <w:r>
              <w:rPr>
                <w:rFonts w:hint="eastAsia" w:ascii="仿宋" w:hAnsi="仿宋" w:cs="仿宋"/>
                <w:sz w:val="24"/>
              </w:rPr>
              <w:t>无偏离</w:t>
            </w:r>
          </w:p>
        </w:tc>
        <w:tc>
          <w:tcPr>
            <w:tcW w:w="486" w:type="dxa"/>
            <w:vAlign w:val="center"/>
          </w:tcPr>
          <w:p w14:paraId="22BEABF5">
            <w:pPr>
              <w:adjustRightInd w:val="0"/>
              <w:snapToGrid w:val="0"/>
              <w:ind w:right="105" w:rightChars="50"/>
              <w:jc w:val="center"/>
              <w:rPr>
                <w:rFonts w:hint="eastAsia" w:ascii="仿宋" w:hAnsi="仿宋" w:cs="仿宋"/>
                <w:sz w:val="24"/>
              </w:rPr>
            </w:pPr>
            <w:r>
              <w:rPr>
                <w:rFonts w:hint="eastAsia" w:ascii="仿宋" w:hAnsi="仿宋" w:cs="仿宋"/>
                <w:sz w:val="24"/>
              </w:rPr>
              <w:t>无</w:t>
            </w:r>
          </w:p>
        </w:tc>
      </w:tr>
      <w:tr w14:paraId="04A5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19" w:type="dxa"/>
            <w:vAlign w:val="center"/>
          </w:tcPr>
          <w:p w14:paraId="04C7E213">
            <w:pPr>
              <w:adjustRightInd w:val="0"/>
              <w:snapToGrid w:val="0"/>
              <w:ind w:right="105" w:rightChars="50"/>
              <w:jc w:val="center"/>
              <w:rPr>
                <w:rFonts w:hint="eastAsia" w:ascii="仿宋" w:hAnsi="仿宋" w:cs="仿宋"/>
                <w:sz w:val="24"/>
              </w:rPr>
            </w:pPr>
            <w:r>
              <w:rPr>
                <w:rFonts w:hint="eastAsia" w:ascii="仿宋" w:hAnsi="仿宋" w:cs="仿宋"/>
                <w:sz w:val="24"/>
              </w:rPr>
              <w:t>11</w:t>
            </w:r>
          </w:p>
        </w:tc>
        <w:tc>
          <w:tcPr>
            <w:tcW w:w="3478" w:type="dxa"/>
            <w:vAlign w:val="center"/>
          </w:tcPr>
          <w:p w14:paraId="2EC196C7">
            <w:pPr>
              <w:adjustRightInd w:val="0"/>
              <w:snapToGrid w:val="0"/>
              <w:ind w:hanging="1"/>
              <w:rPr>
                <w:rFonts w:hint="eastAsia" w:ascii="仿宋" w:hAnsi="仿宋" w:cs="仿宋"/>
                <w:sz w:val="24"/>
              </w:rPr>
            </w:pPr>
            <w:r>
              <w:rPr>
                <w:rFonts w:hint="eastAsia" w:ascii="仿宋" w:hAnsi="仿宋" w:cs="仿宋"/>
                <w:sz w:val="24"/>
              </w:rPr>
              <w:t>培训人员现场培训（操作、维护等）：无</w:t>
            </w:r>
          </w:p>
        </w:tc>
        <w:tc>
          <w:tcPr>
            <w:tcW w:w="3479" w:type="dxa"/>
            <w:vAlign w:val="center"/>
          </w:tcPr>
          <w:p w14:paraId="209AFA5E">
            <w:pPr>
              <w:adjustRightInd w:val="0"/>
              <w:snapToGrid w:val="0"/>
              <w:ind w:hanging="1"/>
              <w:rPr>
                <w:rFonts w:hint="eastAsia" w:ascii="仿宋" w:hAnsi="仿宋" w:cs="仿宋"/>
                <w:sz w:val="24"/>
              </w:rPr>
            </w:pPr>
            <w:r>
              <w:rPr>
                <w:rFonts w:hint="eastAsia" w:ascii="仿宋" w:hAnsi="仿宋" w:cs="仿宋"/>
                <w:sz w:val="24"/>
              </w:rPr>
              <w:t>培训人员现场培训（操作、维护等）：无</w:t>
            </w:r>
          </w:p>
        </w:tc>
        <w:tc>
          <w:tcPr>
            <w:tcW w:w="431" w:type="dxa"/>
            <w:vAlign w:val="center"/>
          </w:tcPr>
          <w:p w14:paraId="79B64062">
            <w:pPr>
              <w:adjustRightInd w:val="0"/>
              <w:snapToGrid w:val="0"/>
              <w:ind w:right="105" w:rightChars="50"/>
              <w:jc w:val="center"/>
              <w:rPr>
                <w:rFonts w:hint="eastAsia" w:ascii="仿宋" w:hAnsi="仿宋" w:cs="仿宋"/>
                <w:sz w:val="24"/>
              </w:rPr>
            </w:pPr>
            <w:r>
              <w:rPr>
                <w:rFonts w:hint="eastAsia" w:ascii="仿宋" w:hAnsi="仿宋" w:cs="仿宋"/>
                <w:sz w:val="24"/>
              </w:rPr>
              <w:t>无偏离</w:t>
            </w:r>
          </w:p>
        </w:tc>
        <w:tc>
          <w:tcPr>
            <w:tcW w:w="486" w:type="dxa"/>
            <w:vAlign w:val="center"/>
          </w:tcPr>
          <w:p w14:paraId="3C11557F">
            <w:pPr>
              <w:adjustRightInd w:val="0"/>
              <w:snapToGrid w:val="0"/>
              <w:ind w:right="105" w:rightChars="50"/>
              <w:jc w:val="center"/>
              <w:rPr>
                <w:rFonts w:hint="eastAsia" w:ascii="仿宋" w:hAnsi="仿宋" w:cs="仿宋"/>
                <w:sz w:val="24"/>
              </w:rPr>
            </w:pPr>
            <w:r>
              <w:rPr>
                <w:rFonts w:hint="eastAsia" w:ascii="仿宋" w:hAnsi="仿宋" w:cs="仿宋"/>
                <w:sz w:val="24"/>
              </w:rPr>
              <w:t>无</w:t>
            </w:r>
          </w:p>
        </w:tc>
      </w:tr>
      <w:tr w14:paraId="043D1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19" w:type="dxa"/>
            <w:vAlign w:val="center"/>
          </w:tcPr>
          <w:p w14:paraId="43569E91">
            <w:pPr>
              <w:adjustRightInd w:val="0"/>
              <w:snapToGrid w:val="0"/>
              <w:ind w:right="105" w:rightChars="50"/>
              <w:jc w:val="center"/>
              <w:rPr>
                <w:rFonts w:hint="eastAsia" w:ascii="仿宋" w:hAnsi="仿宋" w:cs="仿宋"/>
                <w:sz w:val="24"/>
              </w:rPr>
            </w:pPr>
            <w:r>
              <w:rPr>
                <w:rFonts w:hint="eastAsia" w:ascii="仿宋" w:hAnsi="仿宋" w:cs="仿宋"/>
                <w:sz w:val="24"/>
              </w:rPr>
              <w:t>12</w:t>
            </w:r>
          </w:p>
        </w:tc>
        <w:tc>
          <w:tcPr>
            <w:tcW w:w="3478" w:type="dxa"/>
            <w:vAlign w:val="center"/>
          </w:tcPr>
          <w:p w14:paraId="32B2DBFC">
            <w:pPr>
              <w:adjustRightInd w:val="0"/>
              <w:snapToGrid w:val="0"/>
              <w:ind w:hanging="1"/>
              <w:rPr>
                <w:rFonts w:hint="eastAsia" w:ascii="仿宋" w:hAnsi="仿宋" w:cs="仿宋"/>
                <w:sz w:val="24"/>
              </w:rPr>
            </w:pPr>
            <w:r>
              <w:rPr>
                <w:rFonts w:hint="eastAsia" w:ascii="仿宋" w:hAnsi="仿宋" w:cs="仿宋"/>
                <w:sz w:val="24"/>
              </w:rPr>
              <w:t>系统扩展、升级服务要求：无</w:t>
            </w:r>
          </w:p>
        </w:tc>
        <w:tc>
          <w:tcPr>
            <w:tcW w:w="3479" w:type="dxa"/>
            <w:vAlign w:val="center"/>
          </w:tcPr>
          <w:p w14:paraId="51163546">
            <w:pPr>
              <w:adjustRightInd w:val="0"/>
              <w:snapToGrid w:val="0"/>
              <w:ind w:hanging="1"/>
              <w:rPr>
                <w:rFonts w:hint="eastAsia" w:ascii="仿宋" w:hAnsi="仿宋" w:cs="仿宋"/>
                <w:sz w:val="24"/>
              </w:rPr>
            </w:pPr>
            <w:r>
              <w:rPr>
                <w:rFonts w:hint="eastAsia" w:ascii="仿宋" w:hAnsi="仿宋" w:cs="仿宋"/>
                <w:sz w:val="24"/>
              </w:rPr>
              <w:t>系统扩展、升级服务要求：无</w:t>
            </w:r>
          </w:p>
        </w:tc>
        <w:tc>
          <w:tcPr>
            <w:tcW w:w="431" w:type="dxa"/>
            <w:vAlign w:val="center"/>
          </w:tcPr>
          <w:p w14:paraId="2589B0F1">
            <w:pPr>
              <w:adjustRightInd w:val="0"/>
              <w:snapToGrid w:val="0"/>
              <w:ind w:right="105" w:rightChars="50"/>
              <w:jc w:val="center"/>
              <w:rPr>
                <w:rFonts w:hint="eastAsia" w:ascii="仿宋" w:hAnsi="仿宋" w:cs="仿宋"/>
                <w:sz w:val="24"/>
              </w:rPr>
            </w:pPr>
            <w:r>
              <w:rPr>
                <w:rFonts w:hint="eastAsia" w:ascii="仿宋" w:hAnsi="仿宋" w:cs="仿宋"/>
                <w:sz w:val="24"/>
              </w:rPr>
              <w:t>无偏离</w:t>
            </w:r>
          </w:p>
        </w:tc>
        <w:tc>
          <w:tcPr>
            <w:tcW w:w="486" w:type="dxa"/>
            <w:vAlign w:val="center"/>
          </w:tcPr>
          <w:p w14:paraId="222EBE25">
            <w:pPr>
              <w:adjustRightInd w:val="0"/>
              <w:snapToGrid w:val="0"/>
              <w:ind w:right="105" w:rightChars="50"/>
              <w:jc w:val="center"/>
              <w:rPr>
                <w:rFonts w:hint="eastAsia" w:ascii="仿宋" w:hAnsi="仿宋" w:cs="仿宋"/>
                <w:sz w:val="24"/>
              </w:rPr>
            </w:pPr>
            <w:r>
              <w:rPr>
                <w:rFonts w:hint="eastAsia" w:ascii="仿宋" w:hAnsi="仿宋" w:cs="仿宋"/>
                <w:sz w:val="24"/>
              </w:rPr>
              <w:t>无</w:t>
            </w:r>
          </w:p>
        </w:tc>
      </w:tr>
      <w:tr w14:paraId="7FB12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619" w:type="dxa"/>
            <w:vAlign w:val="center"/>
          </w:tcPr>
          <w:p w14:paraId="419A4281">
            <w:pPr>
              <w:adjustRightInd w:val="0"/>
              <w:snapToGrid w:val="0"/>
              <w:ind w:right="105" w:rightChars="50"/>
              <w:jc w:val="center"/>
              <w:rPr>
                <w:rFonts w:hint="eastAsia" w:ascii="仿宋" w:hAnsi="仿宋" w:cs="仿宋"/>
                <w:sz w:val="24"/>
              </w:rPr>
            </w:pPr>
            <w:r>
              <w:rPr>
                <w:rFonts w:hint="eastAsia" w:ascii="仿宋" w:hAnsi="仿宋" w:cs="仿宋"/>
                <w:sz w:val="24"/>
              </w:rPr>
              <w:t>13</w:t>
            </w:r>
          </w:p>
        </w:tc>
        <w:tc>
          <w:tcPr>
            <w:tcW w:w="3478" w:type="dxa"/>
            <w:vAlign w:val="center"/>
          </w:tcPr>
          <w:p w14:paraId="4E4F2B18">
            <w:pPr>
              <w:adjustRightInd w:val="0"/>
              <w:snapToGrid w:val="0"/>
              <w:ind w:hanging="1"/>
              <w:rPr>
                <w:rFonts w:hint="eastAsia" w:ascii="仿宋" w:hAnsi="仿宋" w:cs="仿宋"/>
                <w:sz w:val="24"/>
              </w:rPr>
            </w:pPr>
            <w:r>
              <w:rPr>
                <w:rFonts w:hint="eastAsia" w:ascii="仿宋" w:hAnsi="仿宋" w:cs="仿宋"/>
                <w:sz w:val="24"/>
              </w:rPr>
              <w:t>其它</w:t>
            </w:r>
          </w:p>
        </w:tc>
        <w:tc>
          <w:tcPr>
            <w:tcW w:w="3479" w:type="dxa"/>
            <w:vAlign w:val="center"/>
          </w:tcPr>
          <w:p w14:paraId="719E82E4">
            <w:pPr>
              <w:adjustRightInd w:val="0"/>
              <w:snapToGrid w:val="0"/>
              <w:ind w:right="105" w:rightChars="50"/>
              <w:jc w:val="center"/>
              <w:rPr>
                <w:rFonts w:hint="eastAsia" w:ascii="仿宋" w:hAnsi="仿宋" w:cs="仿宋"/>
                <w:sz w:val="24"/>
              </w:rPr>
            </w:pPr>
            <w:r>
              <w:rPr>
                <w:rFonts w:hint="eastAsia" w:ascii="仿宋" w:hAnsi="仿宋" w:cs="仿宋"/>
                <w:sz w:val="24"/>
              </w:rPr>
              <w:t>采购单位未提供需求而供应商认为需说明及补充的内容在此填列</w:t>
            </w:r>
          </w:p>
        </w:tc>
        <w:tc>
          <w:tcPr>
            <w:tcW w:w="431" w:type="dxa"/>
            <w:vAlign w:val="center"/>
          </w:tcPr>
          <w:p w14:paraId="40368E9D">
            <w:pPr>
              <w:adjustRightInd w:val="0"/>
              <w:snapToGrid w:val="0"/>
              <w:ind w:right="105" w:rightChars="50"/>
              <w:jc w:val="center"/>
              <w:rPr>
                <w:rFonts w:hint="eastAsia" w:ascii="仿宋" w:hAnsi="仿宋" w:cs="仿宋"/>
                <w:sz w:val="24"/>
              </w:rPr>
            </w:pPr>
            <w:r>
              <w:rPr>
                <w:rFonts w:hint="eastAsia" w:ascii="仿宋" w:hAnsi="仿宋" w:cs="仿宋"/>
                <w:sz w:val="24"/>
              </w:rPr>
              <w:t>无偏离</w:t>
            </w:r>
          </w:p>
        </w:tc>
        <w:tc>
          <w:tcPr>
            <w:tcW w:w="486" w:type="dxa"/>
            <w:vAlign w:val="center"/>
          </w:tcPr>
          <w:p w14:paraId="248D7B69">
            <w:pPr>
              <w:adjustRightInd w:val="0"/>
              <w:snapToGrid w:val="0"/>
              <w:ind w:right="105" w:rightChars="50"/>
              <w:jc w:val="center"/>
              <w:rPr>
                <w:rFonts w:hint="eastAsia" w:ascii="仿宋" w:hAnsi="仿宋" w:cs="仿宋"/>
                <w:sz w:val="24"/>
              </w:rPr>
            </w:pPr>
            <w:r>
              <w:rPr>
                <w:rFonts w:hint="eastAsia" w:ascii="仿宋" w:hAnsi="仿宋" w:cs="仿宋"/>
                <w:sz w:val="24"/>
              </w:rPr>
              <w:t>无</w:t>
            </w:r>
          </w:p>
        </w:tc>
      </w:tr>
    </w:tbl>
    <w:p w14:paraId="784B34E0">
      <w:pPr>
        <w:adjustRightInd w:val="0"/>
        <w:snapToGrid w:val="0"/>
        <w:spacing w:line="360" w:lineRule="auto"/>
        <w:ind w:right="105" w:rightChars="50"/>
        <w:jc w:val="left"/>
        <w:rPr>
          <w:rFonts w:hint="eastAsia" w:ascii="仿宋" w:hAnsi="仿宋" w:cs="仿宋"/>
          <w:b/>
          <w:sz w:val="24"/>
        </w:rPr>
      </w:pPr>
    </w:p>
    <w:p w14:paraId="19F2C333">
      <w:pPr>
        <w:adjustRightInd w:val="0"/>
        <w:snapToGrid w:val="0"/>
        <w:spacing w:line="360" w:lineRule="auto"/>
        <w:ind w:right="105" w:rightChars="50"/>
        <w:jc w:val="left"/>
        <w:rPr>
          <w:rFonts w:hint="eastAsia" w:ascii="仿宋" w:hAnsi="仿宋" w:cs="仿宋"/>
          <w:sz w:val="24"/>
        </w:rPr>
      </w:pPr>
      <w:r>
        <w:rPr>
          <w:rFonts w:hint="eastAsia" w:ascii="仿宋" w:hAnsi="仿宋" w:cs="仿宋"/>
          <w:b/>
          <w:sz w:val="24"/>
        </w:rPr>
        <w:t>填表要求：</w:t>
      </w:r>
    </w:p>
    <w:p w14:paraId="7245920B">
      <w:pPr>
        <w:adjustRightInd w:val="0"/>
        <w:snapToGrid w:val="0"/>
        <w:spacing w:line="360" w:lineRule="auto"/>
        <w:rPr>
          <w:rFonts w:hint="eastAsia" w:ascii="仿宋" w:hAnsi="仿宋" w:cs="仿宋"/>
          <w:sz w:val="24"/>
        </w:rPr>
      </w:pPr>
      <w:r>
        <w:rPr>
          <w:rFonts w:hint="eastAsia" w:ascii="仿宋" w:hAnsi="仿宋" w:cs="仿宋"/>
          <w:sz w:val="24"/>
        </w:rPr>
        <w:t>1．“投标文件响应内容”一栏由投标人按照招标文件要求填写，进行响应。</w:t>
      </w:r>
    </w:p>
    <w:p w14:paraId="4135B10D">
      <w:pPr>
        <w:adjustRightInd w:val="0"/>
        <w:snapToGrid w:val="0"/>
        <w:spacing w:line="360" w:lineRule="auto"/>
        <w:rPr>
          <w:rFonts w:hint="eastAsia" w:ascii="仿宋" w:hAnsi="仿宋" w:cs="仿宋"/>
          <w:sz w:val="24"/>
        </w:rPr>
      </w:pPr>
      <w:r>
        <w:rPr>
          <w:rFonts w:hint="eastAsia" w:ascii="仿宋" w:hAnsi="仿宋" w:cs="仿宋"/>
          <w:sz w:val="24"/>
        </w:rPr>
        <w:t>2．“偏离程度”一栏根据“投标文件响应内容”与招标文件逐项对照的结果填写。偏离必须用 “正偏离、负偏离或无偏离”三个名称中的一种进行标注。</w:t>
      </w:r>
    </w:p>
    <w:p w14:paraId="0ED05EBC">
      <w:pPr>
        <w:adjustRightInd w:val="0"/>
        <w:snapToGrid w:val="0"/>
        <w:spacing w:line="360" w:lineRule="auto"/>
        <w:rPr>
          <w:rFonts w:hint="eastAsia" w:ascii="仿宋" w:hAnsi="仿宋" w:cs="仿宋"/>
          <w:sz w:val="24"/>
        </w:rPr>
      </w:pPr>
      <w:r>
        <w:rPr>
          <w:rFonts w:hint="eastAsia" w:ascii="仿宋" w:hAnsi="仿宋" w:cs="仿宋"/>
          <w:sz w:val="24"/>
        </w:rPr>
        <w:t>3．“偏离说明”一栏由投标人对偏离的情况做详细说明。</w:t>
      </w:r>
    </w:p>
    <w:p w14:paraId="5EB1E7B1">
      <w:pPr>
        <w:pStyle w:val="3"/>
        <w:rPr>
          <w:rFonts w:hint="eastAsia" w:ascii="仿宋" w:hAnsi="仿宋" w:cs="仿宋"/>
        </w:rPr>
      </w:pPr>
    </w:p>
    <w:p w14:paraId="59A0ED80">
      <w:pPr>
        <w:pStyle w:val="3"/>
        <w:rPr>
          <w:rFonts w:hint="eastAsia" w:ascii="仿宋" w:hAnsi="仿宋" w:cs="仿宋"/>
        </w:rPr>
      </w:pPr>
    </w:p>
    <w:p w14:paraId="776A82F7">
      <w:pPr>
        <w:snapToGrid w:val="0"/>
        <w:spacing w:line="360" w:lineRule="auto"/>
        <w:rPr>
          <w:rFonts w:hint="eastAsia" w:ascii="仿宋" w:hAnsi="仿宋" w:cs="仿宋"/>
          <w:sz w:val="24"/>
        </w:rPr>
      </w:pPr>
      <w:r>
        <w:rPr>
          <w:rFonts w:hint="eastAsia" w:ascii="仿宋" w:hAnsi="仿宋" w:cs="仿宋"/>
          <w:sz w:val="24"/>
        </w:rPr>
        <w:t>投标人名称（加盖单位公章）：</w:t>
      </w:r>
      <w:r>
        <w:rPr>
          <w:rFonts w:hint="eastAsia" w:ascii="仿宋" w:hAnsi="仿宋" w:cs="仿宋"/>
          <w:sz w:val="24"/>
          <w:u w:val="single"/>
        </w:rPr>
        <w:t xml:space="preserve">  辽宁润致会计师事务所（普通合伙）         </w:t>
      </w:r>
    </w:p>
    <w:p w14:paraId="5CC4919D">
      <w:pPr>
        <w:snapToGrid w:val="0"/>
        <w:spacing w:line="360" w:lineRule="auto"/>
        <w:rPr>
          <w:rFonts w:hint="eastAsia" w:ascii="仿宋" w:hAnsi="仿宋" w:cs="仿宋"/>
          <w:sz w:val="24"/>
        </w:rPr>
      </w:pPr>
      <w:r>
        <w:rPr>
          <w:rFonts w:hint="eastAsia" w:ascii="仿宋" w:hAnsi="仿宋" w:cs="仿宋"/>
          <w:sz w:val="24"/>
        </w:rPr>
        <w:t>法定代表人（或非法人组织负责人）或其授权委托人(签字或盖章)：</w:t>
      </w:r>
      <w:r>
        <w:rPr>
          <w:rFonts w:hint="eastAsia" w:ascii="仿宋" w:hAnsi="仿宋" w:cs="仿宋"/>
          <w:sz w:val="24"/>
          <w:u w:val="single"/>
        </w:rPr>
        <w:t xml:space="preserve">           </w:t>
      </w:r>
    </w:p>
    <w:p w14:paraId="6F65FD87">
      <w:pPr>
        <w:spacing w:line="360" w:lineRule="auto"/>
        <w:rPr>
          <w:rFonts w:hint="eastAsia" w:ascii="仿宋" w:hAnsi="仿宋" w:cs="仿宋"/>
          <w:sz w:val="24"/>
          <w:u w:val="single"/>
        </w:rPr>
      </w:pPr>
      <w:r>
        <w:rPr>
          <w:rFonts w:hint="eastAsia" w:ascii="仿宋" w:hAnsi="仿宋" w:cs="仿宋"/>
          <w:sz w:val="24"/>
        </w:rPr>
        <w:t>日期：</w:t>
      </w:r>
      <w:r>
        <w:rPr>
          <w:rFonts w:hint="eastAsia" w:ascii="仿宋" w:hAnsi="仿宋" w:cs="仿宋"/>
          <w:sz w:val="24"/>
          <w:u w:val="single"/>
        </w:rPr>
        <w:t xml:space="preserve"> 2023.10.07 </w:t>
      </w:r>
    </w:p>
    <w:p w14:paraId="35182200">
      <w:pPr>
        <w:pStyle w:val="3"/>
        <w:rPr>
          <w:rFonts w:hint="eastAsia" w:ascii="仿宋" w:hAnsi="仿宋" w:cs="仿宋"/>
          <w:sz w:val="24"/>
          <w:u w:val="single"/>
        </w:rPr>
      </w:pPr>
    </w:p>
    <w:p w14:paraId="3492C784">
      <w:pPr>
        <w:rPr>
          <w:rFonts w:hint="eastAsia" w:ascii="仿宋" w:hAnsi="仿宋" w:cs="仿宋"/>
          <w:sz w:val="24"/>
          <w:u w:val="single"/>
        </w:rPr>
      </w:pPr>
    </w:p>
    <w:p w14:paraId="40AABAA0">
      <w:pPr>
        <w:pStyle w:val="3"/>
        <w:rPr>
          <w:rFonts w:hint="eastAsia" w:ascii="仿宋" w:hAnsi="仿宋" w:cs="仿宋"/>
          <w:sz w:val="24"/>
          <w:u w:val="single"/>
        </w:rPr>
        <w:sectPr>
          <w:footerReference r:id="rId4" w:type="default"/>
          <w:pgSz w:w="11906" w:h="16838"/>
          <w:pgMar w:top="1440" w:right="1800" w:bottom="1440" w:left="1800" w:header="851" w:footer="992" w:gutter="0"/>
          <w:pgNumType w:start="1"/>
          <w:cols w:space="720" w:num="1"/>
          <w:docGrid w:type="lines" w:linePitch="312" w:charSpace="0"/>
        </w:sectPr>
      </w:pPr>
    </w:p>
    <w:p w14:paraId="7F57C5CB">
      <w:pPr>
        <w:keepNext/>
        <w:keepLines/>
        <w:spacing w:before="140" w:after="140" w:line="413" w:lineRule="auto"/>
        <w:jc w:val="center"/>
        <w:outlineLvl w:val="1"/>
        <w:rPr>
          <w:rFonts w:hint="eastAsia" w:ascii="仿宋" w:hAnsi="仿宋" w:cs="仿宋"/>
          <w:b/>
          <w:sz w:val="32"/>
        </w:rPr>
      </w:pPr>
      <w:bookmarkStart w:id="8" w:name="_Toc32426"/>
      <w:bookmarkStart w:id="9" w:name="_Toc19412"/>
      <w:r>
        <w:rPr>
          <w:rStyle w:val="10"/>
          <w:rFonts w:hint="eastAsia" w:ascii="仿宋" w:hAnsi="仿宋" w:cs="仿宋"/>
        </w:rPr>
        <w:t>售后服务承</w:t>
      </w:r>
      <w:r>
        <w:rPr>
          <w:rFonts w:hint="eastAsia" w:ascii="仿宋" w:hAnsi="仿宋" w:cs="仿宋"/>
          <w:b/>
          <w:sz w:val="32"/>
        </w:rPr>
        <w:t>诺</w:t>
      </w:r>
      <w:bookmarkEnd w:id="8"/>
      <w:bookmarkEnd w:id="9"/>
    </w:p>
    <w:p w14:paraId="734093DE">
      <w:pPr>
        <w:spacing w:line="400" w:lineRule="exact"/>
        <w:ind w:firstLine="562" w:firstLineChars="200"/>
        <w:rPr>
          <w:rFonts w:hint="eastAsia" w:ascii="仿宋" w:hAnsi="仿宋" w:cs="仿宋"/>
          <w:sz w:val="28"/>
          <w:szCs w:val="28"/>
        </w:rPr>
      </w:pPr>
      <w:r>
        <w:rPr>
          <w:rFonts w:hint="eastAsia" w:ascii="仿宋" w:hAnsi="仿宋" w:cs="仿宋"/>
          <w:b/>
          <w:bCs/>
          <w:sz w:val="28"/>
          <w:szCs w:val="28"/>
        </w:rPr>
        <w:t>一、服务承诺</w:t>
      </w:r>
    </w:p>
    <w:p w14:paraId="0077A1C5">
      <w:pPr>
        <w:spacing w:line="400" w:lineRule="exact"/>
        <w:ind w:firstLine="560" w:firstLineChars="200"/>
        <w:rPr>
          <w:rFonts w:hint="eastAsia" w:ascii="仿宋" w:hAnsi="仿宋" w:cs="仿宋"/>
          <w:sz w:val="28"/>
          <w:szCs w:val="28"/>
        </w:rPr>
      </w:pPr>
      <w:r>
        <w:rPr>
          <w:rFonts w:hint="eastAsia" w:ascii="仿宋" w:hAnsi="仿宋" w:cs="仿宋"/>
          <w:sz w:val="28"/>
          <w:szCs w:val="28"/>
        </w:rPr>
        <w:t>若我事务所中标，我事务所将对</w:t>
      </w:r>
      <w:r>
        <w:rPr>
          <w:rFonts w:hint="eastAsia" w:ascii="仿宋" w:hAnsi="仿宋" w:cs="仿宋"/>
          <w:bCs/>
          <w:sz w:val="28"/>
          <w:szCs w:val="28"/>
        </w:rPr>
        <w:t>鞍山市财政局2023年绩效评价工作</w:t>
      </w:r>
      <w:r>
        <w:rPr>
          <w:rFonts w:hint="eastAsia" w:ascii="仿宋" w:hAnsi="仿宋" w:cs="仿宋"/>
          <w:sz w:val="28"/>
          <w:szCs w:val="28"/>
        </w:rPr>
        <w:t>服务承诺如下：</w:t>
      </w:r>
    </w:p>
    <w:p w14:paraId="5583AAFB">
      <w:pPr>
        <w:spacing w:line="400" w:lineRule="exact"/>
        <w:ind w:firstLine="562" w:firstLineChars="200"/>
        <w:rPr>
          <w:rFonts w:hint="eastAsia" w:ascii="仿宋" w:hAnsi="仿宋" w:cs="仿宋"/>
          <w:sz w:val="28"/>
          <w:szCs w:val="28"/>
        </w:rPr>
      </w:pPr>
      <w:r>
        <w:rPr>
          <w:rFonts w:hint="eastAsia" w:ascii="仿宋" w:hAnsi="仿宋" w:cs="仿宋"/>
          <w:b/>
          <w:bCs/>
          <w:sz w:val="28"/>
          <w:szCs w:val="28"/>
        </w:rPr>
        <w:t>(一)提供终身责任制服务。</w:t>
      </w:r>
      <w:r>
        <w:rPr>
          <w:rFonts w:hint="eastAsia" w:ascii="仿宋" w:hAnsi="仿宋" w:cs="仿宋"/>
          <w:sz w:val="28"/>
          <w:szCs w:val="28"/>
        </w:rPr>
        <w:t>在本次项目服务过程中，采购方有其他方面的业务需求时，我们会提供相应增值服务；项目结束后，我们可提供免费咨询服务，决不因项目结束而终止售后服务。</w:t>
      </w:r>
    </w:p>
    <w:p w14:paraId="0865C845">
      <w:pPr>
        <w:spacing w:line="400" w:lineRule="exact"/>
        <w:ind w:firstLine="562" w:firstLineChars="200"/>
        <w:rPr>
          <w:rFonts w:hint="eastAsia" w:ascii="仿宋" w:hAnsi="仿宋" w:cs="仿宋"/>
          <w:sz w:val="28"/>
          <w:szCs w:val="28"/>
        </w:rPr>
      </w:pPr>
      <w:r>
        <w:rPr>
          <w:rFonts w:hint="eastAsia" w:ascii="仿宋" w:hAnsi="仿宋" w:cs="仿宋"/>
          <w:b/>
          <w:bCs/>
          <w:sz w:val="28"/>
          <w:szCs w:val="28"/>
        </w:rPr>
        <w:t>(二)提供7*24小时热线服务</w:t>
      </w:r>
      <w:r>
        <w:rPr>
          <w:rFonts w:hint="eastAsia" w:ascii="仿宋" w:hAnsi="仿宋" w:cs="仿宋"/>
          <w:sz w:val="28"/>
          <w:szCs w:val="28"/>
        </w:rPr>
        <w:t>。我事务所业务联络专人负责，能够有效保证服务质量和服务及时。本项目联络人为孙颖，电话18909883334。</w:t>
      </w:r>
    </w:p>
    <w:p w14:paraId="7514E58C">
      <w:pPr>
        <w:spacing w:line="400" w:lineRule="exact"/>
        <w:ind w:firstLine="562" w:firstLineChars="200"/>
        <w:rPr>
          <w:rFonts w:hint="eastAsia" w:ascii="仿宋" w:hAnsi="仿宋" w:cs="仿宋"/>
          <w:b/>
          <w:bCs/>
          <w:sz w:val="28"/>
          <w:szCs w:val="28"/>
        </w:rPr>
      </w:pPr>
      <w:r>
        <w:rPr>
          <w:rFonts w:hint="eastAsia" w:ascii="仿宋" w:hAnsi="仿宋" w:cs="仿宋"/>
          <w:b/>
          <w:bCs/>
          <w:sz w:val="28"/>
          <w:szCs w:val="28"/>
        </w:rPr>
        <w:t>(三)依法依规规范执业</w:t>
      </w:r>
    </w:p>
    <w:p w14:paraId="51638C5C">
      <w:pPr>
        <w:spacing w:line="400" w:lineRule="exact"/>
        <w:ind w:firstLine="560" w:firstLineChars="200"/>
        <w:rPr>
          <w:rFonts w:hint="eastAsia" w:ascii="仿宋" w:hAnsi="仿宋" w:cs="仿宋"/>
          <w:sz w:val="28"/>
          <w:szCs w:val="28"/>
        </w:rPr>
      </w:pPr>
      <w:r>
        <w:rPr>
          <w:rFonts w:hint="eastAsia" w:ascii="仿宋" w:hAnsi="仿宋" w:cs="仿宋"/>
          <w:sz w:val="28"/>
          <w:szCs w:val="28"/>
        </w:rPr>
        <w:t>全体项目组成员依据《中国注册会计师审计准则》要求规范执业。执业过程中，不受任何利诱，实事求是开展工作，确保项目组人员恪守独立、客观、公正的工作原则。</w:t>
      </w:r>
    </w:p>
    <w:p w14:paraId="389AB839">
      <w:pPr>
        <w:spacing w:line="400" w:lineRule="exact"/>
        <w:ind w:firstLine="562" w:firstLineChars="200"/>
        <w:rPr>
          <w:rFonts w:hint="eastAsia" w:ascii="仿宋" w:hAnsi="仿宋" w:cs="仿宋"/>
          <w:b/>
          <w:bCs/>
          <w:sz w:val="28"/>
          <w:szCs w:val="28"/>
        </w:rPr>
      </w:pPr>
      <w:r>
        <w:rPr>
          <w:rFonts w:hint="eastAsia" w:ascii="仿宋" w:hAnsi="仿宋" w:cs="仿宋"/>
          <w:b/>
          <w:bCs/>
          <w:sz w:val="28"/>
          <w:szCs w:val="28"/>
        </w:rPr>
        <w:t>(四)按时保质完成任务</w:t>
      </w:r>
    </w:p>
    <w:p w14:paraId="71A5AE80">
      <w:pPr>
        <w:spacing w:line="400" w:lineRule="exact"/>
        <w:ind w:firstLine="560" w:firstLineChars="200"/>
        <w:rPr>
          <w:rFonts w:hint="eastAsia" w:ascii="仿宋" w:hAnsi="仿宋" w:cs="仿宋"/>
          <w:sz w:val="28"/>
          <w:szCs w:val="28"/>
        </w:rPr>
      </w:pPr>
      <w:r>
        <w:rPr>
          <w:rFonts w:hint="eastAsia" w:ascii="仿宋" w:hAnsi="仿宋" w:cs="仿宋"/>
          <w:sz w:val="28"/>
          <w:szCs w:val="28"/>
        </w:rPr>
        <w:t>我们一旦承接本项目，将加大人员投入、提供更多咨询服务、优先报告复核、控制时间节点、及时人员调配等多种措施确保委托方对项目的要求；针对该项目，我们会严格遵守项目组三级复核流程，重大事项慎重处理，确保项目质量要求。</w:t>
      </w:r>
    </w:p>
    <w:p w14:paraId="0AADB637">
      <w:pPr>
        <w:spacing w:line="400" w:lineRule="exact"/>
        <w:ind w:firstLine="560" w:firstLineChars="200"/>
        <w:rPr>
          <w:rFonts w:hint="eastAsia" w:ascii="仿宋" w:hAnsi="仿宋" w:cs="仿宋"/>
          <w:sz w:val="28"/>
          <w:szCs w:val="28"/>
        </w:rPr>
      </w:pPr>
      <w:r>
        <w:rPr>
          <w:rFonts w:hint="eastAsia" w:ascii="仿宋" w:hAnsi="仿宋" w:cs="仿宋"/>
          <w:sz w:val="28"/>
          <w:szCs w:val="28"/>
        </w:rPr>
        <w:t>经与被审计单位达成一致后，出具审计报告（纸质版及电子版）以及各类项目明细表。</w:t>
      </w:r>
    </w:p>
    <w:p w14:paraId="471F2E05">
      <w:pPr>
        <w:spacing w:line="400" w:lineRule="exact"/>
        <w:ind w:firstLine="562" w:firstLineChars="200"/>
        <w:rPr>
          <w:rFonts w:hint="eastAsia" w:ascii="仿宋" w:hAnsi="仿宋" w:cs="仿宋"/>
          <w:b/>
          <w:bCs/>
          <w:sz w:val="28"/>
          <w:szCs w:val="28"/>
        </w:rPr>
      </w:pPr>
      <w:r>
        <w:rPr>
          <w:rFonts w:hint="eastAsia" w:ascii="仿宋" w:hAnsi="仿宋" w:cs="仿宋"/>
          <w:b/>
          <w:bCs/>
          <w:sz w:val="28"/>
          <w:szCs w:val="28"/>
        </w:rPr>
        <w:t>(五)做好资料保密工作</w:t>
      </w:r>
    </w:p>
    <w:p w14:paraId="5F6A2537">
      <w:pPr>
        <w:spacing w:line="400" w:lineRule="exact"/>
        <w:ind w:firstLine="560" w:firstLineChars="200"/>
        <w:rPr>
          <w:rFonts w:hint="eastAsia" w:ascii="仿宋" w:hAnsi="仿宋" w:cs="仿宋"/>
          <w:sz w:val="28"/>
          <w:szCs w:val="28"/>
        </w:rPr>
      </w:pPr>
      <w:r>
        <w:rPr>
          <w:rFonts w:hint="eastAsia" w:ascii="仿宋" w:hAnsi="仿宋" w:cs="仿宋"/>
          <w:sz w:val="28"/>
          <w:szCs w:val="28"/>
        </w:rPr>
        <w:t>1、强化保密意识</w:t>
      </w:r>
    </w:p>
    <w:p w14:paraId="1B133F13">
      <w:pPr>
        <w:spacing w:line="400" w:lineRule="exact"/>
        <w:ind w:firstLine="560" w:firstLineChars="200"/>
        <w:rPr>
          <w:rFonts w:hint="eastAsia" w:ascii="仿宋" w:hAnsi="仿宋" w:cs="仿宋"/>
          <w:sz w:val="28"/>
          <w:szCs w:val="28"/>
        </w:rPr>
      </w:pPr>
      <w:r>
        <w:rPr>
          <w:rFonts w:hint="eastAsia" w:ascii="仿宋" w:hAnsi="仿宋" w:cs="仿宋"/>
          <w:sz w:val="28"/>
          <w:szCs w:val="28"/>
        </w:rPr>
        <w:t>（1）加强保密意识教育</w:t>
      </w:r>
    </w:p>
    <w:p w14:paraId="167C6F53">
      <w:pPr>
        <w:spacing w:line="400" w:lineRule="exact"/>
        <w:ind w:firstLine="560" w:firstLineChars="200"/>
        <w:rPr>
          <w:rFonts w:hint="eastAsia" w:ascii="仿宋" w:hAnsi="仿宋" w:cs="仿宋"/>
          <w:sz w:val="28"/>
          <w:szCs w:val="28"/>
        </w:rPr>
      </w:pPr>
      <w:r>
        <w:rPr>
          <w:rFonts w:hint="eastAsia" w:ascii="仿宋" w:hAnsi="仿宋" w:cs="仿宋"/>
          <w:sz w:val="28"/>
          <w:szCs w:val="28"/>
        </w:rPr>
        <w:t>对客户信息保密是我们应尽的责任。项目开始前我们对项目组全体成员进行保密意识教育，提高安全保密意识。</w:t>
      </w:r>
    </w:p>
    <w:p w14:paraId="2D5E30AA">
      <w:pPr>
        <w:spacing w:line="400" w:lineRule="exact"/>
        <w:ind w:firstLine="560" w:firstLineChars="200"/>
        <w:rPr>
          <w:rFonts w:hint="eastAsia" w:ascii="仿宋" w:hAnsi="仿宋" w:cs="仿宋"/>
          <w:sz w:val="28"/>
          <w:szCs w:val="28"/>
        </w:rPr>
      </w:pPr>
      <w:r>
        <w:rPr>
          <w:rFonts w:hint="eastAsia" w:ascii="仿宋" w:hAnsi="仿宋" w:cs="仿宋"/>
          <w:sz w:val="28"/>
          <w:szCs w:val="28"/>
        </w:rPr>
        <w:t>（2）签署成员保密协议</w:t>
      </w:r>
    </w:p>
    <w:p w14:paraId="2E51E911">
      <w:pPr>
        <w:spacing w:line="400" w:lineRule="exact"/>
        <w:ind w:firstLine="560" w:firstLineChars="200"/>
        <w:rPr>
          <w:rFonts w:hint="eastAsia" w:ascii="仿宋" w:hAnsi="仿宋" w:cs="仿宋"/>
          <w:sz w:val="28"/>
          <w:szCs w:val="28"/>
        </w:rPr>
      </w:pPr>
      <w:r>
        <w:rPr>
          <w:rFonts w:hint="eastAsia" w:ascii="仿宋" w:hAnsi="仿宋" w:cs="仿宋"/>
          <w:sz w:val="28"/>
          <w:szCs w:val="28"/>
        </w:rPr>
        <w:t>事务所与项目组成员签署保密协议认真落实保密工作责任制。</w:t>
      </w:r>
    </w:p>
    <w:p w14:paraId="726A8326">
      <w:pPr>
        <w:spacing w:line="400" w:lineRule="exact"/>
        <w:ind w:firstLine="560" w:firstLineChars="200"/>
        <w:rPr>
          <w:rFonts w:hint="eastAsia" w:ascii="仿宋" w:hAnsi="仿宋" w:cs="仿宋"/>
          <w:sz w:val="28"/>
          <w:szCs w:val="28"/>
        </w:rPr>
      </w:pPr>
      <w:r>
        <w:rPr>
          <w:rFonts w:hint="eastAsia" w:ascii="仿宋" w:hAnsi="仿宋" w:cs="仿宋"/>
          <w:sz w:val="28"/>
          <w:szCs w:val="28"/>
        </w:rPr>
        <w:t>2、防止资料泄密</w:t>
      </w:r>
    </w:p>
    <w:p w14:paraId="6DF72863">
      <w:pPr>
        <w:spacing w:line="400" w:lineRule="exact"/>
        <w:ind w:firstLine="560" w:firstLineChars="200"/>
        <w:rPr>
          <w:rFonts w:hint="eastAsia" w:ascii="仿宋" w:hAnsi="仿宋" w:cs="仿宋"/>
          <w:sz w:val="28"/>
          <w:szCs w:val="28"/>
        </w:rPr>
      </w:pPr>
      <w:r>
        <w:rPr>
          <w:rFonts w:hint="eastAsia" w:ascii="仿宋" w:hAnsi="仿宋" w:cs="仿宋"/>
          <w:sz w:val="28"/>
          <w:szCs w:val="28"/>
        </w:rPr>
        <w:t>（1）防止电子信息泄密</w:t>
      </w:r>
    </w:p>
    <w:p w14:paraId="626A448F">
      <w:pPr>
        <w:spacing w:line="400" w:lineRule="exact"/>
        <w:ind w:firstLine="560" w:firstLineChars="200"/>
        <w:rPr>
          <w:rFonts w:hint="eastAsia" w:ascii="仿宋" w:hAnsi="仿宋" w:cs="仿宋"/>
          <w:sz w:val="28"/>
          <w:szCs w:val="28"/>
        </w:rPr>
      </w:pPr>
      <w:r>
        <w:rPr>
          <w:rFonts w:hint="eastAsia" w:ascii="仿宋" w:hAnsi="仿宋" w:cs="仿宋"/>
          <w:sz w:val="28"/>
          <w:szCs w:val="28"/>
        </w:rPr>
        <w:t>加强计算机涉密载体的管理，在审计现场，审计人员要加强对笔记本电脑，移动硬盘等设备使用的安全、保密管理，并采取必要的保密防范措施。</w:t>
      </w:r>
    </w:p>
    <w:p w14:paraId="1D897533">
      <w:pPr>
        <w:spacing w:line="400" w:lineRule="exact"/>
        <w:ind w:firstLine="560" w:firstLineChars="200"/>
        <w:rPr>
          <w:rFonts w:hint="eastAsia" w:ascii="仿宋" w:hAnsi="仿宋" w:cs="仿宋"/>
          <w:sz w:val="28"/>
          <w:szCs w:val="28"/>
        </w:rPr>
      </w:pPr>
      <w:r>
        <w:rPr>
          <w:rFonts w:hint="eastAsia" w:ascii="仿宋" w:hAnsi="仿宋" w:cs="仿宋"/>
          <w:sz w:val="28"/>
          <w:szCs w:val="28"/>
        </w:rPr>
        <w:t>（2）废弃资料及时销毁</w:t>
      </w:r>
    </w:p>
    <w:p w14:paraId="59F09463">
      <w:pPr>
        <w:spacing w:line="400" w:lineRule="exact"/>
        <w:ind w:firstLine="560" w:firstLineChars="200"/>
        <w:rPr>
          <w:rFonts w:hint="eastAsia" w:ascii="仿宋" w:hAnsi="仿宋" w:cs="仿宋"/>
          <w:sz w:val="28"/>
          <w:szCs w:val="28"/>
        </w:rPr>
      </w:pPr>
      <w:r>
        <w:rPr>
          <w:rFonts w:hint="eastAsia" w:ascii="仿宋" w:hAnsi="仿宋" w:cs="仿宋"/>
          <w:sz w:val="28"/>
          <w:szCs w:val="28"/>
        </w:rPr>
        <w:t>实行废弃资料销毁制度，对各种记录应妥善保管，不得随意乱记和丢弃。用过或作废的记录用纸和记录本，除立卷归档外，应及时销毁清除。</w:t>
      </w:r>
    </w:p>
    <w:p w14:paraId="42EC9829">
      <w:pPr>
        <w:spacing w:line="400" w:lineRule="exact"/>
        <w:ind w:firstLine="562" w:firstLineChars="200"/>
        <w:rPr>
          <w:rFonts w:hint="eastAsia" w:ascii="仿宋" w:hAnsi="仿宋" w:cs="仿宋"/>
          <w:b/>
          <w:bCs/>
          <w:sz w:val="28"/>
          <w:szCs w:val="28"/>
        </w:rPr>
      </w:pPr>
      <w:r>
        <w:rPr>
          <w:rFonts w:hint="eastAsia" w:ascii="仿宋" w:hAnsi="仿宋" w:cs="仿宋"/>
          <w:b/>
          <w:bCs/>
          <w:sz w:val="28"/>
          <w:szCs w:val="28"/>
        </w:rPr>
        <w:t>(六)及时建立完整档案</w:t>
      </w:r>
    </w:p>
    <w:p w14:paraId="775CB925">
      <w:pPr>
        <w:spacing w:line="400" w:lineRule="exact"/>
        <w:ind w:firstLine="560" w:firstLineChars="200"/>
        <w:rPr>
          <w:rFonts w:hint="eastAsia" w:ascii="仿宋" w:hAnsi="仿宋" w:cs="仿宋"/>
          <w:sz w:val="28"/>
          <w:szCs w:val="28"/>
        </w:rPr>
      </w:pPr>
      <w:r>
        <w:rPr>
          <w:rFonts w:hint="eastAsia" w:ascii="仿宋" w:hAnsi="仿宋" w:cs="仿宋"/>
          <w:sz w:val="28"/>
          <w:szCs w:val="28"/>
        </w:rPr>
        <w:t>1、合同资料专人保管</w:t>
      </w:r>
    </w:p>
    <w:p w14:paraId="7CBDDF9B">
      <w:pPr>
        <w:spacing w:line="400" w:lineRule="exact"/>
        <w:ind w:firstLine="560" w:firstLineChars="200"/>
        <w:rPr>
          <w:rFonts w:hint="eastAsia" w:ascii="仿宋" w:hAnsi="仿宋" w:cs="仿宋"/>
          <w:sz w:val="28"/>
          <w:szCs w:val="28"/>
        </w:rPr>
      </w:pPr>
      <w:r>
        <w:rPr>
          <w:rFonts w:hint="eastAsia" w:ascii="仿宋" w:hAnsi="仿宋" w:cs="仿宋"/>
          <w:sz w:val="28"/>
          <w:szCs w:val="28"/>
        </w:rPr>
        <w:t>对于每项目业务的合同资料及合同信息，由专人负责合同管理，未经管理层领导同意，其他人员无权了解和掌握合同信息。</w:t>
      </w:r>
    </w:p>
    <w:p w14:paraId="1EA358EA">
      <w:pPr>
        <w:spacing w:line="400" w:lineRule="exact"/>
        <w:ind w:firstLine="560" w:firstLineChars="200"/>
        <w:rPr>
          <w:rFonts w:hint="eastAsia" w:ascii="仿宋" w:hAnsi="仿宋" w:cs="仿宋"/>
          <w:sz w:val="28"/>
          <w:szCs w:val="28"/>
        </w:rPr>
      </w:pPr>
      <w:r>
        <w:rPr>
          <w:rFonts w:hint="eastAsia" w:ascii="仿宋" w:hAnsi="仿宋" w:cs="仿宋"/>
          <w:sz w:val="28"/>
          <w:szCs w:val="28"/>
        </w:rPr>
        <w:t>2、审计档案及时装订</w:t>
      </w:r>
    </w:p>
    <w:p w14:paraId="5175ABCA">
      <w:pPr>
        <w:spacing w:line="400" w:lineRule="exact"/>
        <w:ind w:firstLine="560" w:firstLineChars="200"/>
        <w:rPr>
          <w:rFonts w:hint="eastAsia" w:ascii="仿宋" w:hAnsi="仿宋" w:cs="仿宋"/>
          <w:sz w:val="28"/>
          <w:szCs w:val="28"/>
        </w:rPr>
      </w:pPr>
      <w:r>
        <w:rPr>
          <w:rFonts w:hint="eastAsia" w:ascii="仿宋" w:hAnsi="仿宋" w:cs="仿宋"/>
          <w:sz w:val="28"/>
          <w:szCs w:val="28"/>
        </w:rPr>
        <w:t>《中国注册会计师执业准则》对事务所的业务档案有明确的归档时间要求，即在出具报告后的60日内归档。对于本项目，我们会及时收集资料，及时完成归档工作，最迟也不会超过行业归档时间的要求。档案及时归档，若委托方有借阅事务所的资料需求时，我们会及时提供完整的客户资料。</w:t>
      </w:r>
    </w:p>
    <w:p w14:paraId="78CADAB8">
      <w:pPr>
        <w:spacing w:line="400" w:lineRule="exact"/>
        <w:ind w:firstLine="560" w:firstLineChars="200"/>
        <w:rPr>
          <w:rFonts w:hint="eastAsia" w:ascii="仿宋" w:hAnsi="仿宋" w:cs="仿宋"/>
          <w:sz w:val="28"/>
          <w:szCs w:val="28"/>
        </w:rPr>
      </w:pPr>
      <w:r>
        <w:rPr>
          <w:rFonts w:hint="eastAsia" w:ascii="仿宋" w:hAnsi="仿宋" w:cs="仿宋"/>
          <w:sz w:val="28"/>
          <w:szCs w:val="28"/>
        </w:rPr>
        <w:t>我事务所会根据国家审计工作需要，项目评审后的纸质材料保存3年以上备查，并及时配合国家审计工作，并按相关要求提供必要的辅助性服务。</w:t>
      </w:r>
    </w:p>
    <w:p w14:paraId="1C880CCC">
      <w:pPr>
        <w:spacing w:line="400" w:lineRule="exact"/>
        <w:ind w:firstLine="562" w:firstLineChars="200"/>
        <w:rPr>
          <w:rFonts w:hint="eastAsia" w:ascii="仿宋" w:hAnsi="仿宋" w:cs="仿宋"/>
          <w:b/>
          <w:bCs/>
          <w:sz w:val="28"/>
          <w:szCs w:val="28"/>
        </w:rPr>
      </w:pPr>
      <w:r>
        <w:rPr>
          <w:rFonts w:hint="eastAsia" w:ascii="仿宋" w:hAnsi="仿宋" w:cs="仿宋"/>
          <w:b/>
          <w:bCs/>
          <w:sz w:val="28"/>
          <w:szCs w:val="28"/>
        </w:rPr>
        <w:t>(七)重大事项及时沟通</w:t>
      </w:r>
    </w:p>
    <w:p w14:paraId="6A3D0CCF">
      <w:pPr>
        <w:spacing w:line="400" w:lineRule="exact"/>
        <w:ind w:firstLine="560" w:firstLineChars="200"/>
        <w:rPr>
          <w:rFonts w:hint="eastAsia" w:ascii="仿宋" w:hAnsi="仿宋" w:cs="仿宋"/>
          <w:sz w:val="28"/>
          <w:szCs w:val="28"/>
        </w:rPr>
      </w:pPr>
      <w:r>
        <w:rPr>
          <w:rFonts w:hint="eastAsia" w:ascii="仿宋" w:hAnsi="仿宋" w:cs="仿宋"/>
          <w:sz w:val="28"/>
          <w:szCs w:val="28"/>
        </w:rPr>
        <w:t>在项目服务过程中，对重大事项我们及时沟通，对于委托方提出的相关问题或质疑，我们会在第一时间予以回复，不会因职责不清而相互推诿，不会含糊其辞而拖延时间。</w:t>
      </w:r>
    </w:p>
    <w:p w14:paraId="559A3B61">
      <w:pPr>
        <w:spacing w:line="400" w:lineRule="exact"/>
        <w:ind w:firstLine="562" w:firstLineChars="200"/>
        <w:rPr>
          <w:rFonts w:hint="eastAsia" w:ascii="仿宋" w:hAnsi="仿宋" w:cs="仿宋"/>
          <w:b/>
          <w:bCs/>
          <w:sz w:val="28"/>
          <w:szCs w:val="28"/>
        </w:rPr>
      </w:pPr>
      <w:r>
        <w:rPr>
          <w:rFonts w:hint="eastAsia" w:ascii="仿宋" w:hAnsi="仿宋" w:cs="仿宋"/>
          <w:b/>
          <w:bCs/>
          <w:sz w:val="28"/>
          <w:szCs w:val="28"/>
        </w:rPr>
        <w:t>(八)遵守合同相关约定</w:t>
      </w:r>
    </w:p>
    <w:p w14:paraId="76928568">
      <w:pPr>
        <w:spacing w:line="400" w:lineRule="exact"/>
        <w:ind w:firstLine="560" w:firstLineChars="200"/>
        <w:rPr>
          <w:rFonts w:hint="eastAsia" w:ascii="仿宋" w:hAnsi="仿宋" w:cs="仿宋"/>
          <w:sz w:val="28"/>
          <w:szCs w:val="28"/>
        </w:rPr>
      </w:pPr>
      <w:r>
        <w:rPr>
          <w:rFonts w:hint="eastAsia" w:ascii="仿宋" w:hAnsi="仿宋" w:cs="仿宋"/>
          <w:sz w:val="28"/>
          <w:szCs w:val="28"/>
        </w:rPr>
        <w:t>我所中标后，及时与委托方签定合同，合同约定事项是双方意愿的表达，在执业过程中我们遵守合同约定内容。</w:t>
      </w:r>
    </w:p>
    <w:p w14:paraId="5E85F4B6">
      <w:pPr>
        <w:spacing w:line="400" w:lineRule="exact"/>
        <w:ind w:firstLine="562" w:firstLineChars="200"/>
        <w:rPr>
          <w:rFonts w:hint="eastAsia" w:ascii="仿宋" w:hAnsi="仿宋" w:cs="仿宋"/>
          <w:b/>
          <w:bCs/>
          <w:sz w:val="28"/>
          <w:szCs w:val="28"/>
        </w:rPr>
      </w:pPr>
      <w:r>
        <w:rPr>
          <w:rFonts w:hint="eastAsia" w:ascii="仿宋" w:hAnsi="仿宋" w:cs="仿宋"/>
          <w:b/>
          <w:bCs/>
          <w:sz w:val="28"/>
          <w:szCs w:val="28"/>
        </w:rPr>
        <w:t>(九)确保沟通及时顺畅</w:t>
      </w:r>
    </w:p>
    <w:p w14:paraId="5E11E521">
      <w:pPr>
        <w:spacing w:line="400" w:lineRule="exact"/>
        <w:ind w:firstLine="560" w:firstLineChars="200"/>
        <w:rPr>
          <w:rFonts w:hint="eastAsia" w:ascii="仿宋" w:hAnsi="仿宋" w:cs="仿宋"/>
          <w:sz w:val="28"/>
          <w:szCs w:val="28"/>
        </w:rPr>
      </w:pPr>
      <w:r>
        <w:rPr>
          <w:rFonts w:hint="eastAsia" w:ascii="仿宋" w:hAnsi="仿宋" w:cs="仿宋"/>
          <w:sz w:val="28"/>
          <w:szCs w:val="28"/>
        </w:rPr>
        <w:t>中标后，我们与委托方建立联系人对接表，明确联系人，不会因信息不畅而响整体工作进展。针对本项目，我们建立QQ群、微信群，方便资料传输和相互沟通；我所特设专门的服务热线，待确定中标后，我们会公布热线号码，以方便业务联系和业务监督。</w:t>
      </w:r>
    </w:p>
    <w:p w14:paraId="62DEF9F6">
      <w:pPr>
        <w:spacing w:line="400" w:lineRule="exact"/>
        <w:ind w:firstLine="562" w:firstLineChars="200"/>
        <w:rPr>
          <w:rFonts w:hint="eastAsia" w:ascii="仿宋" w:hAnsi="仿宋" w:cs="仿宋"/>
          <w:b/>
          <w:bCs/>
          <w:sz w:val="28"/>
          <w:szCs w:val="28"/>
        </w:rPr>
      </w:pPr>
      <w:r>
        <w:rPr>
          <w:rFonts w:hint="eastAsia" w:ascii="仿宋" w:hAnsi="仿宋" w:cs="仿宋"/>
          <w:b/>
          <w:bCs/>
          <w:sz w:val="28"/>
          <w:szCs w:val="28"/>
        </w:rPr>
        <w:t>(十)制定充分应急预案</w:t>
      </w:r>
    </w:p>
    <w:p w14:paraId="005D2E7B">
      <w:pPr>
        <w:spacing w:line="400" w:lineRule="exact"/>
        <w:ind w:firstLine="560" w:firstLineChars="200"/>
        <w:rPr>
          <w:rFonts w:hint="eastAsia" w:ascii="仿宋" w:hAnsi="仿宋" w:cs="仿宋"/>
          <w:sz w:val="28"/>
          <w:szCs w:val="28"/>
        </w:rPr>
      </w:pPr>
      <w:r>
        <w:rPr>
          <w:rFonts w:hint="eastAsia" w:ascii="仿宋" w:hAnsi="仿宋" w:cs="仿宋"/>
          <w:sz w:val="28"/>
          <w:szCs w:val="28"/>
        </w:rPr>
        <w:t>为确保本项目的进度和质量，我们从人员安排方面制定了后备人选，在设备配备方面，我们会为项目组配足所需的笔记本电脑、办公用具和交通车辆等。制定充分应急预案的目的就是无论人员和设备哪方面出现问题，我们都不会因突发的应急事项而影响项目进展。</w:t>
      </w:r>
    </w:p>
    <w:p w14:paraId="564D766B">
      <w:pPr>
        <w:spacing w:line="400" w:lineRule="exact"/>
        <w:ind w:firstLine="562" w:firstLineChars="200"/>
        <w:rPr>
          <w:rFonts w:hint="eastAsia" w:ascii="仿宋" w:hAnsi="仿宋" w:cs="仿宋"/>
          <w:b/>
          <w:bCs/>
          <w:sz w:val="28"/>
          <w:szCs w:val="28"/>
        </w:rPr>
      </w:pPr>
      <w:r>
        <w:rPr>
          <w:rFonts w:hint="eastAsia" w:ascii="仿宋" w:hAnsi="仿宋" w:cs="仿宋"/>
          <w:b/>
          <w:bCs/>
          <w:sz w:val="28"/>
          <w:szCs w:val="28"/>
        </w:rPr>
        <w:t>(十一)优先本项目服务</w:t>
      </w:r>
    </w:p>
    <w:p w14:paraId="57F1D173">
      <w:pPr>
        <w:spacing w:line="400" w:lineRule="exact"/>
        <w:ind w:firstLine="560" w:firstLineChars="200"/>
        <w:rPr>
          <w:rFonts w:hint="eastAsia" w:ascii="仿宋" w:hAnsi="仿宋" w:cs="仿宋"/>
          <w:sz w:val="28"/>
          <w:szCs w:val="28"/>
        </w:rPr>
      </w:pPr>
      <w:r>
        <w:rPr>
          <w:rFonts w:hint="eastAsia" w:ascii="仿宋" w:hAnsi="仿宋" w:cs="仿宋"/>
          <w:sz w:val="28"/>
          <w:szCs w:val="28"/>
        </w:rPr>
        <w:t>为及时高效地为委托方提供服务，我所郑重承诺当其他项目与本项目在人力资源和时间上发生冲突时，包括在报告复核环节，我们优先为本项目服务。在本次服务中，我们有信心与客户建立良好合作关系及信任关系。</w:t>
      </w:r>
    </w:p>
    <w:p w14:paraId="7638CE5C">
      <w:pPr>
        <w:spacing w:line="400" w:lineRule="exact"/>
        <w:ind w:firstLine="562" w:firstLineChars="200"/>
        <w:rPr>
          <w:rFonts w:hint="eastAsia" w:ascii="仿宋" w:hAnsi="仿宋" w:cs="仿宋"/>
          <w:b/>
          <w:bCs/>
          <w:sz w:val="28"/>
          <w:szCs w:val="28"/>
        </w:rPr>
      </w:pPr>
      <w:r>
        <w:rPr>
          <w:rFonts w:hint="eastAsia" w:ascii="仿宋" w:hAnsi="仿宋" w:cs="仿宋"/>
          <w:b/>
          <w:bCs/>
          <w:sz w:val="28"/>
          <w:szCs w:val="28"/>
        </w:rPr>
        <w:t>二、响应能力承诺</w:t>
      </w:r>
    </w:p>
    <w:p w14:paraId="4ADCDD76">
      <w:pPr>
        <w:spacing w:line="400" w:lineRule="exact"/>
        <w:ind w:firstLine="560" w:firstLineChars="200"/>
        <w:rPr>
          <w:rFonts w:hint="eastAsia" w:ascii="仿宋" w:hAnsi="仿宋" w:cs="仿宋"/>
          <w:sz w:val="28"/>
          <w:szCs w:val="28"/>
        </w:rPr>
      </w:pPr>
      <w:r>
        <w:rPr>
          <w:rFonts w:hint="eastAsia" w:ascii="仿宋" w:hAnsi="仿宋" w:cs="仿宋"/>
          <w:sz w:val="28"/>
          <w:szCs w:val="28"/>
        </w:rPr>
        <w:t>辽宁润致会计师事务所（普通合伙）住所为：辽宁省沈阳经济技术开发区四号街20号A座320，详见营业执照。</w:t>
      </w:r>
    </w:p>
    <w:p w14:paraId="50532810">
      <w:pPr>
        <w:spacing w:line="400" w:lineRule="exact"/>
        <w:ind w:firstLine="560" w:firstLineChars="200"/>
        <w:rPr>
          <w:rFonts w:hint="eastAsia" w:ascii="仿宋" w:hAnsi="仿宋" w:cs="仿宋"/>
          <w:sz w:val="28"/>
          <w:szCs w:val="28"/>
        </w:rPr>
      </w:pPr>
      <w:r>
        <w:rPr>
          <w:rFonts w:hint="eastAsia" w:ascii="仿宋" w:hAnsi="仿宋" w:cs="仿宋"/>
          <w:sz w:val="28"/>
          <w:szCs w:val="28"/>
        </w:rPr>
        <w:t>我事务所现承诺：我事务所若中标，在接到委托方电话后，可以在1小时以内响应，2小时内到达现场，并按时、保质、保量完成任务。</w:t>
      </w:r>
    </w:p>
    <w:p w14:paraId="074F7B24">
      <w:pPr>
        <w:spacing w:line="400" w:lineRule="exact"/>
        <w:ind w:firstLine="562" w:firstLineChars="200"/>
        <w:rPr>
          <w:rFonts w:hint="eastAsia" w:ascii="仿宋" w:hAnsi="仿宋" w:cs="仿宋"/>
          <w:b/>
          <w:bCs/>
          <w:sz w:val="28"/>
          <w:szCs w:val="28"/>
        </w:rPr>
      </w:pPr>
      <w:r>
        <w:rPr>
          <w:rFonts w:hint="eastAsia" w:ascii="仿宋" w:hAnsi="仿宋" w:cs="仿宋"/>
          <w:b/>
          <w:bCs/>
          <w:sz w:val="28"/>
          <w:szCs w:val="28"/>
        </w:rPr>
        <w:t>三、服务措施</w:t>
      </w:r>
    </w:p>
    <w:p w14:paraId="7ABB0C8A">
      <w:pPr>
        <w:spacing w:line="400" w:lineRule="exact"/>
        <w:ind w:firstLine="560" w:firstLineChars="200"/>
        <w:rPr>
          <w:rFonts w:hint="eastAsia" w:ascii="仿宋" w:hAnsi="仿宋" w:cs="仿宋"/>
          <w:sz w:val="28"/>
          <w:szCs w:val="28"/>
        </w:rPr>
      </w:pPr>
      <w:r>
        <w:rPr>
          <w:rFonts w:hint="eastAsia" w:ascii="仿宋" w:hAnsi="仿宋" w:cs="仿宋"/>
          <w:sz w:val="28"/>
          <w:szCs w:val="28"/>
        </w:rPr>
        <w:t>1、配备具有良好的职业道德和丰富专业知识的专家组，对服务人员进行指导，对项目进行监督、复核。</w:t>
      </w:r>
    </w:p>
    <w:p w14:paraId="591D82F7">
      <w:pPr>
        <w:spacing w:line="400" w:lineRule="exact"/>
        <w:ind w:firstLine="560" w:firstLineChars="200"/>
        <w:rPr>
          <w:rFonts w:hint="eastAsia" w:ascii="仿宋" w:hAnsi="仿宋" w:cs="仿宋"/>
          <w:sz w:val="28"/>
          <w:szCs w:val="28"/>
        </w:rPr>
      </w:pPr>
      <w:r>
        <w:rPr>
          <w:rFonts w:hint="eastAsia" w:ascii="仿宋" w:hAnsi="仿宋" w:cs="仿宋"/>
          <w:sz w:val="28"/>
          <w:szCs w:val="28"/>
        </w:rPr>
        <w:t>3、及时向委托方反馈审计结果并征求意见。按照审批程序向委托方公布审计结果。</w:t>
      </w:r>
    </w:p>
    <w:p w14:paraId="27EA0E05">
      <w:pPr>
        <w:spacing w:line="400" w:lineRule="exact"/>
        <w:ind w:firstLine="560" w:firstLineChars="200"/>
        <w:rPr>
          <w:rFonts w:hint="eastAsia" w:ascii="仿宋" w:hAnsi="仿宋" w:cs="仿宋"/>
          <w:sz w:val="28"/>
          <w:szCs w:val="28"/>
        </w:rPr>
      </w:pPr>
      <w:r>
        <w:rPr>
          <w:rFonts w:hint="eastAsia" w:ascii="仿宋" w:hAnsi="仿宋" w:cs="仿宋"/>
          <w:sz w:val="28"/>
          <w:szCs w:val="28"/>
        </w:rPr>
        <w:t>4、严格执行审计工作纪律,保守被审计单位的秘密。发现违纪者,坚决查处。</w:t>
      </w:r>
    </w:p>
    <w:p w14:paraId="4A6F46BA">
      <w:pPr>
        <w:spacing w:line="400" w:lineRule="exact"/>
        <w:ind w:firstLine="560" w:firstLineChars="200"/>
        <w:rPr>
          <w:rFonts w:hint="eastAsia" w:ascii="仿宋" w:hAnsi="仿宋" w:cs="仿宋"/>
          <w:sz w:val="28"/>
          <w:szCs w:val="28"/>
        </w:rPr>
      </w:pPr>
      <w:r>
        <w:rPr>
          <w:rFonts w:hint="eastAsia" w:ascii="仿宋" w:hAnsi="仿宋" w:cs="仿宋"/>
          <w:sz w:val="28"/>
          <w:szCs w:val="28"/>
        </w:rPr>
        <w:t>5、做到文明用语、礼貌待人、态度诚恳、积极热情、有问必答。</w:t>
      </w:r>
    </w:p>
    <w:p w14:paraId="5023CEC9">
      <w:pPr>
        <w:spacing w:line="400" w:lineRule="exact"/>
        <w:ind w:firstLine="560" w:firstLineChars="200"/>
        <w:rPr>
          <w:rFonts w:hint="eastAsia" w:ascii="仿宋" w:hAnsi="仿宋" w:cs="仿宋"/>
          <w:sz w:val="28"/>
          <w:szCs w:val="28"/>
        </w:rPr>
      </w:pPr>
      <w:r>
        <w:rPr>
          <w:rFonts w:hint="eastAsia" w:ascii="仿宋" w:hAnsi="仿宋" w:cs="仿宋"/>
          <w:sz w:val="28"/>
          <w:szCs w:val="28"/>
        </w:rPr>
        <w:t>6、实行审计回访制度,对审计人员在遵守审计职业道德、执行廉政纪律和审核工作纪律的情况；审核人员执行审计程序、依法审计情况进行监督。</w:t>
      </w:r>
    </w:p>
    <w:p w14:paraId="1EAD189A">
      <w:pPr>
        <w:spacing w:line="400" w:lineRule="exact"/>
        <w:ind w:firstLine="560" w:firstLineChars="200"/>
        <w:rPr>
          <w:rFonts w:hint="eastAsia" w:ascii="仿宋" w:hAnsi="仿宋" w:cs="仿宋"/>
          <w:sz w:val="28"/>
          <w:szCs w:val="28"/>
        </w:rPr>
      </w:pPr>
      <w:r>
        <w:rPr>
          <w:rFonts w:hint="eastAsia" w:ascii="仿宋" w:hAnsi="仿宋" w:cs="仿宋"/>
          <w:sz w:val="28"/>
          <w:szCs w:val="28"/>
        </w:rPr>
        <w:t>7、我所出具报告后，报告内容有相应变化的，可以根据实际情况进行调整。</w:t>
      </w:r>
    </w:p>
    <w:p w14:paraId="2E3CCBF5">
      <w:pPr>
        <w:spacing w:line="400" w:lineRule="exact"/>
        <w:ind w:firstLine="560" w:firstLineChars="200"/>
        <w:rPr>
          <w:rFonts w:hint="eastAsia" w:ascii="仿宋" w:hAnsi="仿宋" w:cs="仿宋"/>
          <w:sz w:val="28"/>
          <w:szCs w:val="28"/>
        </w:rPr>
      </w:pPr>
      <w:r>
        <w:rPr>
          <w:rFonts w:hint="eastAsia" w:ascii="仿宋" w:hAnsi="仿宋" w:cs="仿宋"/>
          <w:sz w:val="28"/>
          <w:szCs w:val="28"/>
        </w:rPr>
        <w:t>8、对被审计单位在审计过程中存在的问题给与指导性意见及建议。</w:t>
      </w:r>
    </w:p>
    <w:p w14:paraId="79CBE93A">
      <w:pPr>
        <w:spacing w:line="400" w:lineRule="exact"/>
        <w:ind w:firstLine="562" w:firstLineChars="200"/>
        <w:rPr>
          <w:rFonts w:hint="eastAsia" w:ascii="仿宋" w:hAnsi="仿宋" w:cs="仿宋"/>
          <w:b/>
          <w:bCs/>
          <w:sz w:val="28"/>
          <w:szCs w:val="28"/>
        </w:rPr>
      </w:pPr>
      <w:r>
        <w:rPr>
          <w:rFonts w:hint="eastAsia" w:ascii="仿宋" w:hAnsi="仿宋" w:cs="仿宋"/>
          <w:b/>
          <w:bCs/>
          <w:sz w:val="28"/>
          <w:szCs w:val="28"/>
        </w:rPr>
        <w:t>四、疫情防控承诺及防控措施</w:t>
      </w:r>
    </w:p>
    <w:p w14:paraId="29BA88EF">
      <w:pPr>
        <w:spacing w:line="400" w:lineRule="exact"/>
        <w:ind w:firstLine="560" w:firstLineChars="200"/>
        <w:rPr>
          <w:rFonts w:hint="eastAsia" w:ascii="仿宋" w:hAnsi="仿宋" w:cs="仿宋"/>
          <w:sz w:val="28"/>
          <w:szCs w:val="28"/>
        </w:rPr>
      </w:pPr>
      <w:r>
        <w:rPr>
          <w:rFonts w:hint="eastAsia" w:ascii="仿宋" w:hAnsi="仿宋" w:cs="仿宋"/>
          <w:sz w:val="28"/>
          <w:szCs w:val="28"/>
        </w:rPr>
        <w:t>1、加强员工健康监测</w:t>
      </w:r>
    </w:p>
    <w:p w14:paraId="6A7638E9">
      <w:pPr>
        <w:spacing w:line="400" w:lineRule="exact"/>
        <w:ind w:firstLine="560" w:firstLineChars="200"/>
        <w:rPr>
          <w:rFonts w:hint="eastAsia" w:ascii="仿宋" w:hAnsi="仿宋" w:cs="仿宋"/>
          <w:sz w:val="28"/>
          <w:szCs w:val="28"/>
        </w:rPr>
      </w:pPr>
      <w:r>
        <w:rPr>
          <w:rFonts w:hint="eastAsia" w:ascii="仿宋" w:hAnsi="仿宋" w:cs="仿宋"/>
          <w:sz w:val="28"/>
          <w:szCs w:val="28"/>
        </w:rPr>
        <w:t>（1）做好员工健康管理。所内派专人掌握员工流动情况，按照要求分区分类进行健康管理，对来自疫情中高风险地区的人员实行居家或集中隔离医学观察。对本市及外地未归的员工，实行每日1次体温汇报制度。及时掌握所内人员健康状况。</w:t>
      </w:r>
    </w:p>
    <w:p w14:paraId="4BC1B935">
      <w:pPr>
        <w:spacing w:line="400" w:lineRule="exact"/>
        <w:ind w:firstLine="560" w:firstLineChars="200"/>
        <w:rPr>
          <w:rFonts w:hint="eastAsia" w:ascii="仿宋" w:hAnsi="仿宋" w:cs="仿宋"/>
          <w:sz w:val="28"/>
          <w:szCs w:val="28"/>
        </w:rPr>
      </w:pPr>
      <w:r>
        <w:rPr>
          <w:rFonts w:hint="eastAsia" w:ascii="仿宋" w:hAnsi="仿宋" w:cs="仿宋"/>
          <w:sz w:val="28"/>
          <w:szCs w:val="28"/>
        </w:rPr>
        <w:t>（2）实行健康状况报告。所内员工若出现发热、呼吸道症状时，要及时向本单位如实报告。并及时向当地疾控部门报告，发现异常情况及时报告并采取相应的防控措施。</w:t>
      </w:r>
    </w:p>
    <w:p w14:paraId="06ACC6D6">
      <w:pPr>
        <w:spacing w:line="400" w:lineRule="exact"/>
        <w:ind w:firstLine="560" w:firstLineChars="200"/>
        <w:rPr>
          <w:rFonts w:hint="eastAsia" w:ascii="仿宋" w:hAnsi="仿宋" w:cs="仿宋"/>
          <w:sz w:val="28"/>
          <w:szCs w:val="28"/>
        </w:rPr>
      </w:pPr>
      <w:r>
        <w:rPr>
          <w:rFonts w:hint="eastAsia" w:ascii="仿宋" w:hAnsi="仿宋" w:cs="仿宋"/>
          <w:sz w:val="28"/>
          <w:szCs w:val="28"/>
        </w:rPr>
        <w:t>2、做好工作场所防控</w:t>
      </w:r>
    </w:p>
    <w:p w14:paraId="19FA5D07">
      <w:pPr>
        <w:spacing w:line="400" w:lineRule="exact"/>
        <w:ind w:firstLine="560" w:firstLineChars="200"/>
        <w:rPr>
          <w:rFonts w:hint="eastAsia" w:ascii="仿宋" w:hAnsi="仿宋" w:cs="仿宋"/>
          <w:sz w:val="28"/>
          <w:szCs w:val="28"/>
        </w:rPr>
      </w:pPr>
      <w:r>
        <w:rPr>
          <w:rFonts w:hint="eastAsia" w:ascii="仿宋" w:hAnsi="仿宋" w:cs="仿宋"/>
          <w:sz w:val="28"/>
          <w:szCs w:val="28"/>
        </w:rPr>
        <w:t>（1）加强进出人员登记管理。所内指派专人对进出单位的所有通道进行严格管理。员工每次进入所内，应在大厦入口处检测体温，体温正常方可进入。要尽量减少非本单位人员进入，确因工作需要的，应检测体温，并询问来源地、工作单位、接触疫情发生地区人员等情况，符合要求方可进入。</w:t>
      </w:r>
    </w:p>
    <w:p w14:paraId="3AAA91A5">
      <w:pPr>
        <w:spacing w:line="400" w:lineRule="exact"/>
        <w:ind w:firstLine="560" w:firstLineChars="200"/>
        <w:rPr>
          <w:rFonts w:hint="eastAsia" w:ascii="仿宋" w:hAnsi="仿宋" w:cs="仿宋"/>
          <w:sz w:val="28"/>
          <w:szCs w:val="28"/>
        </w:rPr>
      </w:pPr>
      <w:r>
        <w:rPr>
          <w:rFonts w:hint="eastAsia" w:ascii="仿宋" w:hAnsi="仿宋" w:cs="仿宋"/>
          <w:sz w:val="28"/>
          <w:szCs w:val="28"/>
        </w:rPr>
        <w:t>（2）保持工作场所通风换气。所内在条件允许情况下首选自然通风，如室温因通风有所降低，应提醒工作人员适当加衣保暖。如使用空调，应当确保供风安全充足，所有排风直接排到室外，不使用空调时应当关闭回风通道。</w:t>
      </w:r>
    </w:p>
    <w:p w14:paraId="61D22A63">
      <w:pPr>
        <w:spacing w:line="400" w:lineRule="exact"/>
        <w:ind w:firstLine="560" w:firstLineChars="200"/>
        <w:rPr>
          <w:rFonts w:hint="eastAsia" w:ascii="仿宋" w:hAnsi="仿宋" w:cs="仿宋"/>
          <w:sz w:val="28"/>
          <w:szCs w:val="28"/>
        </w:rPr>
      </w:pPr>
      <w:r>
        <w:rPr>
          <w:rFonts w:hint="eastAsia" w:ascii="仿宋" w:hAnsi="仿宋" w:cs="仿宋"/>
          <w:sz w:val="28"/>
          <w:szCs w:val="28"/>
        </w:rPr>
        <w:t>（3）保障洗手等设施正常运行，工作场所配备免洗消毒用品等设置洗手设备，洗手、喷淋设施应保持正常运行。如无洗手设备，应配备免洗消毒用品。</w:t>
      </w:r>
    </w:p>
    <w:p w14:paraId="516F6BAD">
      <w:pPr>
        <w:spacing w:line="400" w:lineRule="exact"/>
        <w:ind w:firstLine="560" w:firstLineChars="200"/>
        <w:rPr>
          <w:rFonts w:hint="eastAsia" w:ascii="仿宋" w:hAnsi="仿宋" w:cs="仿宋"/>
          <w:sz w:val="28"/>
          <w:szCs w:val="28"/>
        </w:rPr>
      </w:pPr>
      <w:r>
        <w:rPr>
          <w:rFonts w:hint="eastAsia" w:ascii="仿宋" w:hAnsi="仿宋" w:cs="仿宋"/>
          <w:sz w:val="28"/>
          <w:szCs w:val="28"/>
        </w:rPr>
        <w:t>（4）做好工作和生活场所清洁消毒。工作场所、卫生间、洗手池等公共区域及相关物品，由专人负责定期消毒。电梯按钮、门把手等频繁接触部位适当增加消毒次数。</w:t>
      </w:r>
    </w:p>
    <w:p w14:paraId="58AE972C">
      <w:pPr>
        <w:spacing w:line="400" w:lineRule="exact"/>
        <w:ind w:firstLine="560" w:firstLineChars="200"/>
        <w:rPr>
          <w:rFonts w:hint="eastAsia" w:ascii="仿宋" w:hAnsi="仿宋" w:cs="仿宋"/>
          <w:sz w:val="28"/>
          <w:szCs w:val="28"/>
        </w:rPr>
      </w:pPr>
      <w:r>
        <w:rPr>
          <w:rFonts w:hint="eastAsia" w:ascii="仿宋" w:hAnsi="仿宋" w:cs="仿宋"/>
          <w:sz w:val="28"/>
          <w:szCs w:val="28"/>
        </w:rPr>
        <w:t>（5）减少员工聚集和集体活动。引导员工在公共通道、电梯、楼梯等公共区域，保持适当间距。减少召开会议，需要开的会议要缩短时间、控制规模，保持会议室空气流通，提倡召开视频或电话会议。根据实际情况可采取错时上下班、弹性工作制或居家办公方式。</w:t>
      </w:r>
    </w:p>
    <w:p w14:paraId="1D5B5008">
      <w:pPr>
        <w:spacing w:line="400" w:lineRule="exact"/>
        <w:ind w:firstLine="560" w:firstLineChars="200"/>
        <w:rPr>
          <w:rFonts w:hint="eastAsia" w:ascii="仿宋" w:hAnsi="仿宋" w:cs="仿宋"/>
          <w:sz w:val="28"/>
          <w:szCs w:val="28"/>
        </w:rPr>
      </w:pPr>
      <w:r>
        <w:rPr>
          <w:rFonts w:hint="eastAsia" w:ascii="仿宋" w:hAnsi="仿宋" w:cs="仿宋"/>
          <w:sz w:val="28"/>
          <w:szCs w:val="28"/>
        </w:rPr>
        <w:t>（6）规范垃圾收集处理。在公共区域设置口罩专用回收箱，加强垃圾箱清洁，定期进行消毒处理。加强垃圾分类管理，及时收集并清运。</w:t>
      </w:r>
    </w:p>
    <w:p w14:paraId="094A18B8">
      <w:pPr>
        <w:spacing w:line="400" w:lineRule="exact"/>
        <w:ind w:firstLine="560" w:firstLineChars="200"/>
        <w:rPr>
          <w:rFonts w:hint="eastAsia" w:ascii="仿宋" w:hAnsi="仿宋" w:cs="仿宋"/>
          <w:sz w:val="28"/>
          <w:szCs w:val="28"/>
        </w:rPr>
      </w:pPr>
      <w:r>
        <w:rPr>
          <w:rFonts w:hint="eastAsia" w:ascii="仿宋" w:hAnsi="仿宋" w:cs="仿宋"/>
          <w:sz w:val="28"/>
          <w:szCs w:val="28"/>
        </w:rPr>
        <w:t>3、指导员工个人防护</w:t>
      </w:r>
    </w:p>
    <w:p w14:paraId="664771C6">
      <w:pPr>
        <w:spacing w:line="400" w:lineRule="exact"/>
        <w:ind w:firstLine="560" w:firstLineChars="200"/>
        <w:rPr>
          <w:rFonts w:hint="eastAsia" w:ascii="仿宋" w:hAnsi="仿宋" w:cs="仿宋"/>
          <w:sz w:val="28"/>
          <w:szCs w:val="28"/>
        </w:rPr>
      </w:pPr>
      <w:r>
        <w:rPr>
          <w:rFonts w:hint="eastAsia" w:ascii="仿宋" w:hAnsi="仿宋" w:cs="仿宋"/>
          <w:sz w:val="28"/>
          <w:szCs w:val="28"/>
        </w:rPr>
        <w:t>（1）强化防控宣传教育。采用多种形式加强疫情防治知识科普宣传，使员工充分了解防治知识、掌握防护要点、增强防护意识、支持配合防控工作。</w:t>
      </w:r>
    </w:p>
    <w:p w14:paraId="1C5486A8">
      <w:pPr>
        <w:spacing w:line="400" w:lineRule="exact"/>
        <w:ind w:firstLine="560" w:firstLineChars="200"/>
        <w:rPr>
          <w:rFonts w:hint="eastAsia" w:ascii="仿宋" w:hAnsi="仿宋" w:cs="仿宋"/>
          <w:sz w:val="28"/>
          <w:szCs w:val="28"/>
        </w:rPr>
      </w:pPr>
      <w:r>
        <w:rPr>
          <w:rFonts w:hint="eastAsia" w:ascii="仿宋" w:hAnsi="仿宋" w:cs="仿宋"/>
          <w:sz w:val="28"/>
          <w:szCs w:val="28"/>
        </w:rPr>
        <w:t>（2）落实个人防护要求。员工要减少不必要外出，避免去人群聚集尤其是空气流动性差的场所。在人员密集场所应按照《不同人群预防新型冠状病毒感染口罩选择和使用技术指引》要求，正确佩戴口罩等防护用品。养成勤洗手习惯，打喷嚏或咳嗽时要用纸巾、手绢、衣袖等遮挡，倡导合理膳食、适量运动、规律作息等健康生活方式。</w:t>
      </w:r>
    </w:p>
    <w:p w14:paraId="441CF100">
      <w:pPr>
        <w:spacing w:line="400" w:lineRule="exact"/>
        <w:ind w:firstLine="560" w:firstLineChars="200"/>
        <w:rPr>
          <w:rFonts w:hint="eastAsia" w:ascii="仿宋" w:hAnsi="仿宋" w:cs="仿宋"/>
          <w:sz w:val="28"/>
          <w:szCs w:val="28"/>
        </w:rPr>
      </w:pPr>
      <w:r>
        <w:rPr>
          <w:rFonts w:hint="eastAsia" w:ascii="仿宋" w:hAnsi="仿宋" w:cs="仿宋"/>
          <w:sz w:val="28"/>
          <w:szCs w:val="28"/>
        </w:rPr>
        <w:t>4、做好异常情况处置</w:t>
      </w:r>
    </w:p>
    <w:p w14:paraId="41B2145D">
      <w:pPr>
        <w:spacing w:line="400" w:lineRule="exact"/>
        <w:ind w:firstLine="560" w:firstLineChars="200"/>
        <w:rPr>
          <w:rFonts w:hint="eastAsia" w:ascii="仿宋" w:hAnsi="仿宋" w:cs="仿宋"/>
          <w:sz w:val="28"/>
          <w:szCs w:val="28"/>
        </w:rPr>
      </w:pPr>
      <w:r>
        <w:rPr>
          <w:rFonts w:hint="eastAsia" w:ascii="仿宋" w:hAnsi="仿宋" w:cs="仿宋"/>
          <w:sz w:val="28"/>
          <w:szCs w:val="28"/>
        </w:rPr>
        <w:t>（1）明确单位防控责任。各部门主要负责人是疫情防控第一责任人，要建立单位内部疫情防控组织体系，明确疫情防控应急措施和处置流程，把防控责任落实到部门和个人。</w:t>
      </w:r>
    </w:p>
    <w:p w14:paraId="04346F03">
      <w:pPr>
        <w:spacing w:line="400" w:lineRule="exact"/>
        <w:ind w:firstLine="560" w:firstLineChars="200"/>
        <w:rPr>
          <w:rFonts w:hint="eastAsia" w:ascii="仿宋" w:hAnsi="仿宋" w:cs="仿宋"/>
          <w:sz w:val="28"/>
          <w:szCs w:val="28"/>
        </w:rPr>
      </w:pPr>
      <w:r>
        <w:rPr>
          <w:rFonts w:hint="eastAsia" w:ascii="仿宋" w:hAnsi="仿宋" w:cs="仿宋"/>
          <w:sz w:val="28"/>
          <w:szCs w:val="28"/>
        </w:rPr>
        <w:t>（2）设立隔离观察区域。当员工出现可疑症状时，及时到该区域进行暂时隔离，并报告当地疾控部门，按照相关规范要求安排员工就近就医。</w:t>
      </w:r>
    </w:p>
    <w:p w14:paraId="2B27A44D">
      <w:pPr>
        <w:spacing w:line="400" w:lineRule="exact"/>
        <w:ind w:firstLine="560" w:firstLineChars="200"/>
        <w:rPr>
          <w:rFonts w:hint="eastAsia" w:ascii="仿宋" w:hAnsi="仿宋" w:cs="仿宋"/>
          <w:sz w:val="28"/>
          <w:szCs w:val="28"/>
        </w:rPr>
      </w:pPr>
      <w:r>
        <w:rPr>
          <w:rFonts w:hint="eastAsia" w:ascii="仿宋" w:hAnsi="仿宋" w:cs="仿宋"/>
          <w:sz w:val="28"/>
          <w:szCs w:val="28"/>
        </w:rPr>
        <w:t>（3）封闭相关区域并进行消毒。发现可疑症状员工后，立即隔离其工作岗位，并根据医学观察情况进一步封闭其所在的办公室，严禁无关人员进入，同时在专业人员指导下对其活动场所及使用物品进行消毒。配合有关方面做好密切接触者防控措施。</w:t>
      </w:r>
    </w:p>
    <w:p w14:paraId="655178D2">
      <w:pPr>
        <w:spacing w:line="400" w:lineRule="exact"/>
        <w:ind w:firstLine="560" w:firstLineChars="200"/>
        <w:rPr>
          <w:rFonts w:hint="eastAsia" w:ascii="仿宋" w:hAnsi="仿宋" w:cs="仿宋"/>
          <w:sz w:val="28"/>
          <w:szCs w:val="28"/>
        </w:rPr>
      </w:pPr>
      <w:r>
        <w:rPr>
          <w:rFonts w:hint="eastAsia" w:ascii="仿宋" w:hAnsi="仿宋" w:cs="仿宋"/>
          <w:sz w:val="28"/>
          <w:szCs w:val="28"/>
        </w:rPr>
        <w:t>（4）做好发现病例后的应对处置。对已发现病例，要实施内防扩散、外防输出的防控策略，加强病例流行病学调查、密切接触者追踪管理、疫点消毒等工作。根据疫情严重程度，暂时关闭工作场所，待疫情得到控制后再恢复营业。</w:t>
      </w:r>
    </w:p>
    <w:p w14:paraId="7F886C46">
      <w:pPr>
        <w:spacing w:line="400" w:lineRule="exact"/>
        <w:ind w:firstLine="562" w:firstLineChars="200"/>
        <w:rPr>
          <w:rFonts w:hint="eastAsia" w:ascii="仿宋" w:hAnsi="仿宋" w:cs="仿宋"/>
          <w:b/>
          <w:bCs/>
          <w:sz w:val="28"/>
          <w:szCs w:val="28"/>
        </w:rPr>
      </w:pPr>
      <w:r>
        <w:rPr>
          <w:rFonts w:hint="eastAsia" w:ascii="仿宋" w:hAnsi="仿宋" w:cs="仿宋"/>
          <w:b/>
          <w:bCs/>
          <w:sz w:val="28"/>
          <w:szCs w:val="28"/>
        </w:rPr>
        <w:t>五、保密措施及保密承诺</w:t>
      </w:r>
    </w:p>
    <w:p w14:paraId="768902A2">
      <w:pPr>
        <w:spacing w:line="400" w:lineRule="exact"/>
        <w:ind w:firstLine="560" w:firstLineChars="200"/>
        <w:jc w:val="left"/>
        <w:rPr>
          <w:rFonts w:hint="eastAsia" w:ascii="仿宋" w:hAnsi="仿宋" w:cs="仿宋"/>
          <w:sz w:val="28"/>
          <w:szCs w:val="28"/>
        </w:rPr>
      </w:pPr>
      <w:r>
        <w:rPr>
          <w:rFonts w:hint="eastAsia" w:ascii="仿宋" w:hAnsi="仿宋" w:cs="仿宋"/>
          <w:sz w:val="28"/>
          <w:szCs w:val="28"/>
        </w:rPr>
        <w:t>我所郑重承诺，若我事务所为鞍山市财政局2023年绩效评价中介机构服务项目中标人，将会为鞍山市财政局提供如下保密措施及保密承诺：</w:t>
      </w:r>
    </w:p>
    <w:p w14:paraId="71826421">
      <w:pPr>
        <w:spacing w:line="400" w:lineRule="exact"/>
        <w:ind w:firstLine="560" w:firstLineChars="200"/>
        <w:rPr>
          <w:rFonts w:hint="eastAsia" w:ascii="仿宋" w:hAnsi="仿宋" w:cs="仿宋"/>
          <w:sz w:val="28"/>
          <w:szCs w:val="28"/>
        </w:rPr>
      </w:pPr>
      <w:r>
        <w:rPr>
          <w:rFonts w:hint="eastAsia" w:ascii="仿宋" w:hAnsi="仿宋" w:cs="仿宋"/>
          <w:sz w:val="28"/>
          <w:szCs w:val="28"/>
        </w:rPr>
        <w:t>1、我事务所对在执行业务中知悉的秘密，负有保密义务。</w:t>
      </w:r>
    </w:p>
    <w:p w14:paraId="7CF9430D">
      <w:pPr>
        <w:spacing w:line="400" w:lineRule="exact"/>
        <w:ind w:firstLine="560" w:firstLineChars="200"/>
        <w:rPr>
          <w:rFonts w:hint="eastAsia" w:ascii="仿宋" w:hAnsi="仿宋" w:cs="仿宋"/>
          <w:sz w:val="28"/>
          <w:szCs w:val="28"/>
        </w:rPr>
      </w:pPr>
      <w:r>
        <w:rPr>
          <w:rFonts w:hint="eastAsia" w:ascii="仿宋" w:hAnsi="仿宋" w:cs="仿宋"/>
          <w:sz w:val="28"/>
          <w:szCs w:val="28"/>
        </w:rPr>
        <w:t>2、我事务所对执行业务过程中知悉的国家秘密和项目方秘密严加保密。除非执业准则另有规定，或经项目方同意，我所不得将其知悉的秘密和项目方提供的资料对外泄露。</w:t>
      </w:r>
    </w:p>
    <w:p w14:paraId="1DCCE29E">
      <w:pPr>
        <w:spacing w:line="400" w:lineRule="exact"/>
        <w:ind w:firstLine="560" w:firstLineChars="200"/>
        <w:rPr>
          <w:rFonts w:hint="eastAsia" w:ascii="仿宋" w:hAnsi="仿宋" w:cs="仿宋"/>
          <w:sz w:val="28"/>
          <w:szCs w:val="28"/>
        </w:rPr>
      </w:pPr>
      <w:r>
        <w:rPr>
          <w:rFonts w:hint="eastAsia" w:ascii="仿宋" w:hAnsi="仿宋" w:cs="仿宋"/>
          <w:sz w:val="28"/>
          <w:szCs w:val="28"/>
        </w:rPr>
        <w:t>3、未经委托方事先同意，我事务所不得泄露或自行利用其所知悉的保密信息以获取商业利益。</w:t>
      </w:r>
    </w:p>
    <w:p w14:paraId="78F053AF">
      <w:pPr>
        <w:spacing w:line="400" w:lineRule="exact"/>
        <w:ind w:firstLine="560" w:firstLineChars="200"/>
        <w:rPr>
          <w:rFonts w:hint="eastAsia" w:ascii="仿宋" w:hAnsi="仿宋" w:cs="仿宋"/>
          <w:sz w:val="28"/>
          <w:szCs w:val="28"/>
        </w:rPr>
      </w:pPr>
      <w:r>
        <w:rPr>
          <w:rFonts w:hint="eastAsia" w:ascii="仿宋" w:hAnsi="仿宋" w:cs="仿宋"/>
          <w:sz w:val="28"/>
          <w:szCs w:val="28"/>
        </w:rPr>
        <w:t>4、未经委托方事先同意，我所不得公布、复制或以其他方式披露给第三方或者允许第三方使用任何保密信息。</w:t>
      </w:r>
    </w:p>
    <w:p w14:paraId="0C6F3D8A">
      <w:pPr>
        <w:spacing w:line="400" w:lineRule="exact"/>
        <w:ind w:firstLine="560" w:firstLineChars="200"/>
        <w:rPr>
          <w:rFonts w:hint="eastAsia" w:ascii="仿宋" w:hAnsi="仿宋" w:cs="仿宋"/>
          <w:sz w:val="28"/>
          <w:szCs w:val="28"/>
        </w:rPr>
      </w:pPr>
      <w:r>
        <w:rPr>
          <w:rFonts w:hint="eastAsia" w:ascii="仿宋" w:hAnsi="仿宋" w:cs="仿宋"/>
          <w:sz w:val="28"/>
          <w:szCs w:val="28"/>
        </w:rPr>
        <w:t>5、我事务所保证采取所有必要的方法对其所知悉的项目方保密信息进行保密以避免非经授权而披露、使用或复制保密信息。</w:t>
      </w:r>
    </w:p>
    <w:p w14:paraId="60AACC0C">
      <w:pPr>
        <w:spacing w:line="400" w:lineRule="exact"/>
        <w:ind w:firstLine="560" w:firstLineChars="200"/>
        <w:rPr>
          <w:rFonts w:hint="eastAsia" w:ascii="仿宋" w:hAnsi="仿宋" w:cs="仿宋"/>
          <w:sz w:val="28"/>
          <w:szCs w:val="28"/>
        </w:rPr>
      </w:pPr>
      <w:r>
        <w:rPr>
          <w:rFonts w:hint="eastAsia" w:ascii="仿宋" w:hAnsi="仿宋" w:cs="仿宋"/>
          <w:sz w:val="28"/>
          <w:szCs w:val="28"/>
        </w:rPr>
        <w:t xml:space="preserve">6、一旦我事务所发现任何人错误的获得或使用了项目方的保密信息，我事务所应立即通知项目方。 </w:t>
      </w:r>
    </w:p>
    <w:p w14:paraId="25E84F25">
      <w:pPr>
        <w:spacing w:line="400" w:lineRule="exact"/>
        <w:ind w:firstLine="560" w:firstLineChars="200"/>
        <w:rPr>
          <w:rFonts w:hint="eastAsia" w:ascii="仿宋" w:hAnsi="仿宋" w:cs="仿宋"/>
          <w:sz w:val="28"/>
          <w:szCs w:val="28"/>
        </w:rPr>
      </w:pPr>
      <w:r>
        <w:rPr>
          <w:rFonts w:hint="eastAsia" w:ascii="仿宋" w:hAnsi="仿宋" w:cs="仿宋"/>
          <w:sz w:val="28"/>
          <w:szCs w:val="28"/>
        </w:rPr>
        <w:t>7、我事务所未经委托方许可或授权，因任何理由将保密信息泄露给第三人，应承担违约责任的同时，告知知悉保密信息的第三人负有保密义务，并承担因第三人原因所引起的全部责任（包括但不限于违约责任、赔偿金及第三人所违反本保密协议的一切责任）。</w:t>
      </w:r>
    </w:p>
    <w:p w14:paraId="6C99C4D1">
      <w:pPr>
        <w:spacing w:line="400" w:lineRule="exact"/>
        <w:ind w:firstLine="560" w:firstLineChars="200"/>
        <w:rPr>
          <w:rFonts w:hint="eastAsia" w:ascii="仿宋" w:hAnsi="仿宋" w:cs="仿宋"/>
          <w:sz w:val="28"/>
          <w:szCs w:val="28"/>
        </w:rPr>
      </w:pPr>
      <w:r>
        <w:rPr>
          <w:rFonts w:hint="eastAsia" w:ascii="仿宋" w:hAnsi="仿宋" w:cs="仿宋"/>
          <w:sz w:val="28"/>
          <w:szCs w:val="28"/>
        </w:rPr>
        <w:t>8、承诺参与本项目的人员遵守职业道德规范，执行回避制度，公平严谨进行评价，并对项目单位所有事项保密。</w:t>
      </w:r>
    </w:p>
    <w:p w14:paraId="0B0B6E86">
      <w:pPr>
        <w:spacing w:line="400" w:lineRule="exact"/>
        <w:ind w:firstLine="560" w:firstLineChars="200"/>
        <w:rPr>
          <w:rFonts w:hint="eastAsia" w:ascii="仿宋" w:hAnsi="仿宋" w:cs="仿宋"/>
          <w:sz w:val="28"/>
          <w:szCs w:val="28"/>
        </w:rPr>
      </w:pPr>
      <w:r>
        <w:rPr>
          <w:rFonts w:hint="eastAsia" w:ascii="仿宋" w:hAnsi="仿宋" w:cs="仿宋"/>
          <w:sz w:val="28"/>
          <w:szCs w:val="28"/>
        </w:rPr>
        <w:t>9、凡参与本项目人员，均签署该项目保密协议，保证项目涉及政府及企业相关资料内容不被泄露。</w:t>
      </w:r>
    </w:p>
    <w:p w14:paraId="39A9F979">
      <w:pPr>
        <w:spacing w:line="400" w:lineRule="exact"/>
        <w:ind w:firstLine="562" w:firstLineChars="200"/>
        <w:rPr>
          <w:rFonts w:hint="eastAsia" w:ascii="仿宋" w:hAnsi="仿宋" w:cs="仿宋"/>
          <w:b/>
          <w:bCs/>
          <w:sz w:val="28"/>
          <w:szCs w:val="28"/>
        </w:rPr>
      </w:pPr>
      <w:r>
        <w:rPr>
          <w:rFonts w:hint="eastAsia" w:ascii="仿宋" w:hAnsi="仿宋" w:cs="仿宋"/>
          <w:b/>
          <w:bCs/>
          <w:sz w:val="28"/>
          <w:szCs w:val="28"/>
        </w:rPr>
        <w:t>六、应急措施方案及解决办法</w:t>
      </w:r>
    </w:p>
    <w:p w14:paraId="74780A7A">
      <w:pPr>
        <w:spacing w:line="400" w:lineRule="exact"/>
        <w:ind w:firstLine="560" w:firstLineChars="200"/>
        <w:rPr>
          <w:rFonts w:hint="eastAsia" w:ascii="仿宋" w:hAnsi="仿宋" w:cs="仿宋"/>
          <w:sz w:val="28"/>
          <w:szCs w:val="28"/>
        </w:rPr>
      </w:pPr>
      <w:r>
        <w:rPr>
          <w:rFonts w:hint="eastAsia" w:ascii="仿宋" w:hAnsi="仿宋" w:cs="仿宋"/>
          <w:sz w:val="28"/>
          <w:szCs w:val="28"/>
        </w:rPr>
        <w:t>为了增强事务所及时推进重大事项的贯彻落实,提高对紧急突发事件的处理能力,我所建立完善了内部重大事项快速反应机制。</w:t>
      </w:r>
    </w:p>
    <w:p w14:paraId="322EFFF5">
      <w:pPr>
        <w:spacing w:line="400" w:lineRule="exact"/>
        <w:ind w:firstLine="560" w:firstLineChars="200"/>
        <w:rPr>
          <w:rFonts w:hint="eastAsia" w:ascii="仿宋" w:hAnsi="仿宋" w:cs="仿宋"/>
          <w:sz w:val="28"/>
          <w:szCs w:val="28"/>
        </w:rPr>
      </w:pPr>
      <w:r>
        <w:rPr>
          <w:rFonts w:hint="eastAsia" w:ascii="仿宋" w:hAnsi="仿宋" w:cs="仿宋"/>
          <w:sz w:val="28"/>
          <w:szCs w:val="28"/>
        </w:rPr>
        <w:t>1、事务所质量监督部，积极主动地收集、分析并及时向所长及合伙人报告重要信息和紧急突发事件,提出对策、建议和意见，并根据所长及合伙人的指示，快速处置、抓紧落实并及时反馈。</w:t>
      </w:r>
    </w:p>
    <w:p w14:paraId="63F0A14A">
      <w:pPr>
        <w:spacing w:line="400" w:lineRule="exact"/>
        <w:ind w:firstLine="560" w:firstLineChars="200"/>
        <w:rPr>
          <w:rFonts w:hint="eastAsia" w:ascii="仿宋" w:hAnsi="仿宋" w:cs="仿宋"/>
          <w:sz w:val="28"/>
          <w:szCs w:val="28"/>
        </w:rPr>
      </w:pPr>
      <w:r>
        <w:rPr>
          <w:rFonts w:hint="eastAsia" w:ascii="仿宋" w:hAnsi="仿宋" w:cs="仿宋"/>
          <w:sz w:val="28"/>
          <w:szCs w:val="28"/>
        </w:rPr>
        <w:t>2、事务所质量监督部，据事务所的总体要求和实际工作需要，建立和完善重要紧急事项专项快速反应机制和应急处理办法，明确快速反应事项的内容、程序、时限要求，落实责任。建立业务报告监管信息预警监测,建立重大事项或重要指标动态变化快报制度与典型样本动态情况报告制度，经过逐步建立健全重要紧急事项的快速反应制度体系。</w:t>
      </w:r>
    </w:p>
    <w:p w14:paraId="79382DD5">
      <w:pPr>
        <w:spacing w:line="400" w:lineRule="exact"/>
        <w:ind w:firstLine="560" w:firstLineChars="200"/>
        <w:rPr>
          <w:rFonts w:hint="eastAsia" w:ascii="仿宋" w:hAnsi="仿宋" w:cs="仿宋"/>
          <w:sz w:val="28"/>
          <w:szCs w:val="28"/>
        </w:rPr>
      </w:pPr>
      <w:r>
        <w:rPr>
          <w:rFonts w:hint="eastAsia" w:ascii="仿宋" w:hAnsi="仿宋" w:cs="仿宋"/>
          <w:sz w:val="28"/>
          <w:szCs w:val="28"/>
        </w:rPr>
        <w:t>3、项目总负责人为重大应急事项报告的第一责任人，将重大紧急突发事件，要在第一时间告知各项目负责人，承做该项目的负责人有责任将重大应急事项按规定程序向总负责人提交报告。</w:t>
      </w:r>
    </w:p>
    <w:p w14:paraId="72D8C7D2">
      <w:pPr>
        <w:spacing w:line="400" w:lineRule="exact"/>
        <w:ind w:firstLine="560" w:firstLineChars="200"/>
        <w:rPr>
          <w:rFonts w:hint="eastAsia" w:ascii="仿宋" w:hAnsi="仿宋" w:cs="仿宋"/>
          <w:sz w:val="28"/>
          <w:szCs w:val="28"/>
        </w:rPr>
      </w:pPr>
      <w:r>
        <w:rPr>
          <w:rFonts w:hint="eastAsia" w:ascii="仿宋" w:hAnsi="仿宋" w:cs="仿宋"/>
          <w:sz w:val="28"/>
          <w:szCs w:val="28"/>
        </w:rPr>
        <w:t>4、开展综合分析和快速反应的数据支持,健全事务所的综合和专业统计调查制度,加强各部门间的协调和沟通，不断完善指标体系，做好基础数据的收集和及时更新工作；加强专题和典型调查，充分利用计算机技术和现代通讯条件，加强事务所重要事项的快速反应管理信息系统建设。</w:t>
      </w:r>
    </w:p>
    <w:p w14:paraId="75B9376F">
      <w:pPr>
        <w:spacing w:line="400" w:lineRule="exact"/>
        <w:ind w:firstLine="560" w:firstLineChars="200"/>
        <w:rPr>
          <w:rFonts w:hint="eastAsia" w:ascii="仿宋" w:hAnsi="仿宋" w:cs="仿宋"/>
          <w:sz w:val="28"/>
          <w:szCs w:val="28"/>
        </w:rPr>
      </w:pPr>
      <w:r>
        <w:rPr>
          <w:rFonts w:hint="eastAsia" w:ascii="仿宋" w:hAnsi="仿宋" w:cs="仿宋"/>
          <w:sz w:val="28"/>
          <w:szCs w:val="28"/>
        </w:rPr>
        <w:t>5、对重要紧急事项的处理,经所长及合伙人作出批示后，事务所各部门要认真组织落实，所内相关部门要认真予以配合，及时汇总、反馈工作进展情况。</w:t>
      </w:r>
    </w:p>
    <w:p w14:paraId="605C389D">
      <w:pPr>
        <w:spacing w:line="400" w:lineRule="exact"/>
        <w:ind w:firstLine="560" w:firstLineChars="200"/>
        <w:rPr>
          <w:rFonts w:hint="eastAsia" w:ascii="仿宋" w:hAnsi="仿宋" w:cs="仿宋"/>
          <w:sz w:val="28"/>
          <w:szCs w:val="28"/>
        </w:rPr>
      </w:pPr>
      <w:r>
        <w:rPr>
          <w:rFonts w:hint="eastAsia" w:ascii="仿宋" w:hAnsi="仿宋" w:cs="仿宋"/>
          <w:sz w:val="28"/>
          <w:szCs w:val="28"/>
        </w:rPr>
        <w:t>6、事务所各部门领导和事务所全体员工都要从提高经营管理水平的高度，加强学习，增强政治敏锐性和责任意识，充分认识建立、完善和落实重要事项快速反应机制的重要性，认真研究和把握经营管理过程中的客观规律,适应快速反应的工作要求。</w:t>
      </w:r>
    </w:p>
    <w:p w14:paraId="37D10F18">
      <w:pPr>
        <w:spacing w:line="400" w:lineRule="exact"/>
        <w:ind w:firstLine="560" w:firstLineChars="200"/>
        <w:rPr>
          <w:rFonts w:hint="eastAsia" w:ascii="仿宋" w:hAnsi="仿宋" w:cs="仿宋"/>
          <w:sz w:val="28"/>
          <w:szCs w:val="28"/>
        </w:rPr>
      </w:pPr>
      <w:r>
        <w:rPr>
          <w:rFonts w:hint="eastAsia" w:ascii="仿宋" w:hAnsi="仿宋" w:cs="仿宋"/>
          <w:sz w:val="28"/>
          <w:szCs w:val="28"/>
        </w:rPr>
        <w:t>7、事务所各部门的主要负责人为第一责任人，并按照快速反应的具体任务要求落实具体责任人员。要将建立和执行快速反应机制的工作情况纳入年度考核内容，对出现失误、造成严重后果的，要追究主要负责人和具体责任人的责任。</w:t>
      </w:r>
    </w:p>
    <w:p w14:paraId="2B9F3FF6">
      <w:pPr>
        <w:spacing w:line="400" w:lineRule="exact"/>
        <w:ind w:firstLine="560" w:firstLineChars="200"/>
        <w:rPr>
          <w:rFonts w:hint="eastAsia" w:ascii="仿宋" w:hAnsi="仿宋" w:cs="仿宋"/>
          <w:sz w:val="28"/>
          <w:szCs w:val="28"/>
        </w:rPr>
      </w:pPr>
      <w:r>
        <w:rPr>
          <w:rFonts w:hint="eastAsia" w:ascii="仿宋" w:hAnsi="仿宋" w:cs="仿宋"/>
          <w:sz w:val="28"/>
          <w:szCs w:val="28"/>
        </w:rPr>
        <w:t>事务所各部门建立的重大事项快速反应制度、预案等，应及时报事务所质量监督部备案。</w:t>
      </w:r>
    </w:p>
    <w:p w14:paraId="3D3D944D">
      <w:pPr>
        <w:spacing w:line="400" w:lineRule="exact"/>
        <w:ind w:firstLine="560" w:firstLineChars="200"/>
        <w:rPr>
          <w:rFonts w:hint="eastAsia" w:ascii="仿宋" w:hAnsi="仿宋" w:cs="仿宋"/>
          <w:sz w:val="28"/>
          <w:szCs w:val="28"/>
        </w:rPr>
      </w:pPr>
      <w:r>
        <w:rPr>
          <w:rFonts w:hint="eastAsia" w:ascii="仿宋" w:hAnsi="仿宋" w:cs="仿宋"/>
          <w:sz w:val="28"/>
          <w:szCs w:val="28"/>
        </w:rPr>
        <w:t>8、事务所质量监督部及相关人员办理重要紧急事项，要严格保守秘密，未经授权，不得擅自对外泄露各类信息;对于重要指示，重要经济指标、数据，以及涉及到的相关部门及其人员的重大事项等应严格实行保密，涉及到的工作底稿等业务档案应严格按照事务所的有关规定加强管理。</w:t>
      </w:r>
    </w:p>
    <w:p w14:paraId="4A6BEDE9">
      <w:pPr>
        <w:spacing w:line="400" w:lineRule="exact"/>
        <w:ind w:firstLine="560" w:firstLineChars="200"/>
        <w:rPr>
          <w:rFonts w:hint="eastAsia" w:ascii="仿宋" w:hAnsi="仿宋" w:cs="仿宋"/>
          <w:sz w:val="28"/>
          <w:szCs w:val="28"/>
        </w:rPr>
      </w:pPr>
      <w:r>
        <w:rPr>
          <w:rFonts w:hint="eastAsia" w:ascii="仿宋" w:hAnsi="仿宋" w:cs="仿宋"/>
          <w:sz w:val="28"/>
          <w:szCs w:val="28"/>
        </w:rPr>
        <w:t>9、对待重大或紧急事项提高快速反应能力，坚决反对玩忽职守、不思进取、推诿扯皮、拖沓延误。</w:t>
      </w:r>
    </w:p>
    <w:p w14:paraId="086F82EB">
      <w:pPr>
        <w:spacing w:line="400" w:lineRule="exact"/>
        <w:ind w:firstLine="560" w:firstLineChars="200"/>
        <w:rPr>
          <w:rFonts w:hint="eastAsia" w:ascii="仿宋" w:hAnsi="仿宋" w:cs="仿宋"/>
          <w:sz w:val="28"/>
          <w:szCs w:val="28"/>
        </w:rPr>
      </w:pPr>
      <w:r>
        <w:rPr>
          <w:rFonts w:hint="eastAsia" w:ascii="仿宋" w:hAnsi="仿宋" w:cs="仿宋"/>
          <w:sz w:val="28"/>
          <w:szCs w:val="28"/>
        </w:rPr>
        <w:t>10、事务所对于重大的突发事件和紧急事项,要特事特办,急事急办。下班后、节假日期间的突发事件和重要紧急事项，事务所各部门应当立即用电话、电子文档或微信等方式报告。质量监督部应在收到报告的同时，立即将事项整理、汇总后向所长及合伙人报告。</w:t>
      </w:r>
    </w:p>
    <w:p w14:paraId="11B8B442">
      <w:pPr>
        <w:spacing w:line="400" w:lineRule="exact"/>
        <w:ind w:firstLine="560" w:firstLineChars="200"/>
        <w:rPr>
          <w:rFonts w:hint="eastAsia" w:ascii="仿宋" w:hAnsi="仿宋" w:cs="仿宋"/>
          <w:sz w:val="28"/>
          <w:szCs w:val="28"/>
        </w:rPr>
      </w:pPr>
      <w:r>
        <w:rPr>
          <w:rFonts w:hint="eastAsia" w:ascii="仿宋" w:hAnsi="仿宋" w:cs="仿宋"/>
          <w:sz w:val="28"/>
          <w:szCs w:val="28"/>
        </w:rPr>
        <w:t>11、事务所质量监督管理委员会、各部门报告、办理有关重要紧急事项和突发事件，首先应确认事项、事件来源的真实性，核准有关的要素(何时、何地、何人、何事、何因)，按照要求，急事急办，迅速处置，跟踪进展情况,及时报告并深入分析有关重要紧急事项和突发事件对事务所的影响，预测发展趋势，认真研究提出对策、建议和意见。</w:t>
      </w:r>
    </w:p>
    <w:p w14:paraId="5445E03A">
      <w:pPr>
        <w:spacing w:line="400" w:lineRule="exact"/>
        <w:rPr>
          <w:rFonts w:hint="eastAsia" w:ascii="仿宋" w:hAnsi="仿宋" w:cs="仿宋"/>
          <w:b/>
          <w:sz w:val="28"/>
          <w:szCs w:val="28"/>
        </w:rPr>
      </w:pPr>
    </w:p>
    <w:p w14:paraId="695ECF79">
      <w:pPr>
        <w:spacing w:line="400" w:lineRule="exact"/>
        <w:ind w:firstLine="2800" w:firstLineChars="1000"/>
        <w:jc w:val="left"/>
        <w:rPr>
          <w:rFonts w:hint="eastAsia" w:ascii="仿宋" w:hAnsi="仿宋" w:cs="仿宋"/>
          <w:sz w:val="28"/>
          <w:szCs w:val="28"/>
        </w:rPr>
      </w:pPr>
      <w:r>
        <w:rPr>
          <w:rFonts w:hint="eastAsia" w:ascii="仿宋" w:hAnsi="仿宋" w:cs="仿宋"/>
          <w:sz w:val="28"/>
          <w:szCs w:val="28"/>
        </w:rPr>
        <w:t>辽宁润致会计师事务所（普通合伙）</w:t>
      </w:r>
    </w:p>
    <w:p w14:paraId="28F379E7">
      <w:pPr>
        <w:spacing w:line="400" w:lineRule="exact"/>
        <w:ind w:firstLine="560" w:firstLineChars="200"/>
        <w:jc w:val="left"/>
        <w:rPr>
          <w:sz w:val="20"/>
          <w:szCs w:val="22"/>
        </w:rPr>
      </w:pPr>
      <w:r>
        <w:rPr>
          <w:rFonts w:hint="eastAsia" w:ascii="仿宋" w:hAnsi="仿宋" w:cs="仿宋"/>
          <w:sz w:val="28"/>
          <w:szCs w:val="28"/>
        </w:rPr>
        <w:t xml:space="preserve">                         2023.10.07</w:t>
      </w:r>
    </w:p>
    <w:p w14:paraId="67066D49">
      <w:pPr>
        <w:pStyle w:val="3"/>
      </w:pPr>
    </w:p>
    <w:p w14:paraId="3BE10951">
      <w:pPr>
        <w:pStyle w:val="3"/>
      </w:pPr>
    </w:p>
    <w:p w14:paraId="26D8E1EB">
      <w:pPr>
        <w:pStyle w:val="3"/>
      </w:pPr>
    </w:p>
    <w:p w14:paraId="7EF0CFC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FangSong_GB2312">
    <w:altName w:val="仿宋"/>
    <w:panose1 w:val="02010609060101010101"/>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82752">
    <w:pPr>
      <w:pStyle w:val="5"/>
    </w:pPr>
    <w:r>
      <w:pict>
        <v:shape id="文本框 28" o:spid="_x0000_s3073"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33cre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Cc33creAgAAJgYAAA4AAAAAAAAAAQAgAAAAHwEAAGRycy9lMm9Eb2MueG1sUEsF&#10;BgAAAAAGAAYAWQEAAG8GAAAAAA==&#10;">
          <v:path/>
          <v:fill on="f" focussize="0,0"/>
          <v:stroke on="f" weight="0.5pt" joinstyle="miter"/>
          <v:imagedata o:title=""/>
          <o:lock v:ext="edit"/>
          <v:textbox inset="0mm,0mm,0mm,0mm" style="mso-fit-shape-to-text:t;">
            <w:txbxContent>
              <w:p w14:paraId="027C1457">
                <w:pPr>
                  <w:pStyle w:val="5"/>
                </w:pPr>
                <w:r>
                  <w:fldChar w:fldCharType="begin"/>
                </w:r>
                <w:r>
                  <w:instrText xml:space="preserve"> PAGE  \* MERGEFORMAT </w:instrText>
                </w:r>
                <w:r>
                  <w:fldChar w:fldCharType="separate"/>
                </w:r>
                <w:r>
                  <w:t>6</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1612B">
    <w:pPr>
      <w:pStyle w:val="5"/>
    </w:pPr>
    <w:r>
      <w:pict>
        <v:shape id="文本框 30" o:spid="_x0000_s3074"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path/>
          <v:fill on="f" focussize="0,0"/>
          <v:stroke on="f" weight="0.5pt" joinstyle="miter"/>
          <v:imagedata o:title=""/>
          <o:lock v:ext="edit"/>
          <v:textbox inset="0mm,0mm,0mm,0mm" style="mso-fit-shape-to-text:t;">
            <w:txbxContent>
              <w:p w14:paraId="520BDDD3">
                <w:pPr>
                  <w:pStyle w:val="5"/>
                </w:pPr>
                <w:r>
                  <w:fldChar w:fldCharType="begin"/>
                </w:r>
                <w:r>
                  <w:instrText xml:space="preserve"> PAGE  \* MERGEFORMAT </w:instrText>
                </w:r>
                <w:r>
                  <w:fldChar w:fldCharType="separate"/>
                </w:r>
                <w:r>
                  <w:t>7</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F7058B"/>
    <w:multiLevelType w:val="multilevel"/>
    <w:tmpl w:val="52F7058B"/>
    <w:lvl w:ilvl="0" w:tentative="0">
      <w:start w:val="1"/>
      <w:numFmt w:val="decimal"/>
      <w:lvlText w:val="%1."/>
      <w:lvlJc w:val="left"/>
      <w:pPr>
        <w:tabs>
          <w:tab w:val="left" w:pos="830"/>
        </w:tabs>
        <w:ind w:left="830" w:hanging="360"/>
      </w:pPr>
      <w:rPr>
        <w:rFonts w:hint="eastAsia" w:ascii="黑体" w:hAnsi="Times New Roman" w:eastAsia="黑体"/>
        <w:b/>
      </w:rPr>
    </w:lvl>
    <w:lvl w:ilvl="1" w:tentative="0">
      <w:start w:val="1"/>
      <w:numFmt w:val="lowerLetter"/>
      <w:lvlText w:val="%2)"/>
      <w:lvlJc w:val="left"/>
      <w:pPr>
        <w:tabs>
          <w:tab w:val="left" w:pos="1310"/>
        </w:tabs>
        <w:ind w:left="1310" w:hanging="420"/>
      </w:pPr>
    </w:lvl>
    <w:lvl w:ilvl="2" w:tentative="0">
      <w:start w:val="1"/>
      <w:numFmt w:val="lowerRoman"/>
      <w:lvlText w:val="%3."/>
      <w:lvlJc w:val="right"/>
      <w:pPr>
        <w:tabs>
          <w:tab w:val="left" w:pos="1730"/>
        </w:tabs>
        <w:ind w:left="1730" w:hanging="420"/>
      </w:pPr>
    </w:lvl>
    <w:lvl w:ilvl="3" w:tentative="0">
      <w:start w:val="1"/>
      <w:numFmt w:val="decimal"/>
      <w:lvlText w:val="%4."/>
      <w:lvlJc w:val="left"/>
      <w:pPr>
        <w:tabs>
          <w:tab w:val="left" w:pos="2150"/>
        </w:tabs>
        <w:ind w:left="2150" w:hanging="420"/>
      </w:pPr>
    </w:lvl>
    <w:lvl w:ilvl="4" w:tentative="0">
      <w:start w:val="1"/>
      <w:numFmt w:val="lowerLetter"/>
      <w:lvlText w:val="%5)"/>
      <w:lvlJc w:val="left"/>
      <w:pPr>
        <w:tabs>
          <w:tab w:val="left" w:pos="2570"/>
        </w:tabs>
        <w:ind w:left="2570" w:hanging="420"/>
      </w:pPr>
    </w:lvl>
    <w:lvl w:ilvl="5" w:tentative="0">
      <w:start w:val="1"/>
      <w:numFmt w:val="lowerRoman"/>
      <w:lvlText w:val="%6."/>
      <w:lvlJc w:val="right"/>
      <w:pPr>
        <w:tabs>
          <w:tab w:val="left" w:pos="2990"/>
        </w:tabs>
        <w:ind w:left="2990" w:hanging="420"/>
      </w:pPr>
    </w:lvl>
    <w:lvl w:ilvl="6" w:tentative="0">
      <w:start w:val="1"/>
      <w:numFmt w:val="decimal"/>
      <w:lvlText w:val="%7."/>
      <w:lvlJc w:val="left"/>
      <w:pPr>
        <w:tabs>
          <w:tab w:val="left" w:pos="3410"/>
        </w:tabs>
        <w:ind w:left="3410" w:hanging="420"/>
      </w:pPr>
    </w:lvl>
    <w:lvl w:ilvl="7" w:tentative="0">
      <w:start w:val="1"/>
      <w:numFmt w:val="lowerLetter"/>
      <w:lvlText w:val="%8)"/>
      <w:lvlJc w:val="left"/>
      <w:pPr>
        <w:tabs>
          <w:tab w:val="left" w:pos="3830"/>
        </w:tabs>
        <w:ind w:left="3830" w:hanging="420"/>
      </w:pPr>
    </w:lvl>
    <w:lvl w:ilvl="8" w:tentative="0">
      <w:start w:val="1"/>
      <w:numFmt w:val="lowerRoman"/>
      <w:lvlText w:val="%9."/>
      <w:lvlJc w:val="right"/>
      <w:pPr>
        <w:tabs>
          <w:tab w:val="left" w:pos="4250"/>
        </w:tabs>
        <w:ind w:left="425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542E0A"/>
    <w:rsid w:val="00242366"/>
    <w:rsid w:val="002F1C57"/>
    <w:rsid w:val="00542E0A"/>
    <w:rsid w:val="00AC76C7"/>
    <w:rsid w:val="00CA7112"/>
    <w:rsid w:val="0E0C12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21"/>
      <w:szCs w:val="24"/>
      <w:lang w:val="en-US" w:eastAsia="zh-CN" w:bidi="ar-SA"/>
    </w:rPr>
  </w:style>
  <w:style w:type="paragraph" w:styleId="2">
    <w:name w:val="heading 2"/>
    <w:basedOn w:val="1"/>
    <w:next w:val="1"/>
    <w:link w:val="10"/>
    <w:qFormat/>
    <w:uiPriority w:val="0"/>
    <w:pPr>
      <w:keepNext/>
      <w:keepLines/>
      <w:spacing w:before="260" w:after="260" w:line="413" w:lineRule="auto"/>
      <w:outlineLvl w:val="1"/>
    </w:pPr>
    <w:rPr>
      <w:rFonts w:ascii="Arial" w:hAnsi="Arial" w:eastAsia="黑体"/>
      <w:b/>
      <w:sz w:val="32"/>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1"/>
    <w:semiHidden/>
    <w:unhideWhenUsed/>
    <w:qFormat/>
    <w:uiPriority w:val="99"/>
    <w:pPr>
      <w:spacing w:after="120"/>
    </w:pPr>
  </w:style>
  <w:style w:type="paragraph" w:styleId="4">
    <w:name w:val="Date"/>
    <w:next w:val="1"/>
    <w:link w:val="14"/>
    <w:qFormat/>
    <w:uiPriority w:val="0"/>
    <w:pPr>
      <w:widowControl w:val="0"/>
      <w:ind w:left="100" w:leftChars="2500"/>
      <w:jc w:val="both"/>
    </w:pPr>
    <w:rPr>
      <w:rFonts w:ascii="Calibri" w:hAnsi="Calibri" w:eastAsia="宋体" w:cs="Times New Roman"/>
      <w:kern w:val="2"/>
      <w:sz w:val="21"/>
      <w:szCs w:val="24"/>
      <w:lang w:val="en-US" w:eastAsia="zh-CN" w:bidi="ar-SA"/>
    </w:rPr>
  </w:style>
  <w:style w:type="paragraph" w:styleId="5">
    <w:name w:val="footer"/>
    <w:basedOn w:val="1"/>
    <w:link w:val="13"/>
    <w:unhideWhenUsed/>
    <w:qFormat/>
    <w:uiPriority w:val="0"/>
    <w:pPr>
      <w:tabs>
        <w:tab w:val="center" w:pos="4153"/>
        <w:tab w:val="right" w:pos="8306"/>
      </w:tabs>
      <w:snapToGrid w:val="0"/>
      <w:jc w:val="left"/>
    </w:pPr>
    <w:rPr>
      <w:sz w:val="18"/>
      <w:szCs w:val="18"/>
    </w:rPr>
  </w:style>
  <w:style w:type="paragraph" w:styleId="6">
    <w:name w:val="header"/>
    <w:basedOn w:val="1"/>
    <w:link w:val="12"/>
    <w:semiHidden/>
    <w:unhideWhenUsed/>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next w:val="1"/>
    <w:unhideWhenUsed/>
    <w:qFormat/>
    <w:uiPriority w:val="0"/>
    <w:pPr>
      <w:widowControl/>
      <w:spacing w:before="100" w:beforeAutospacing="1" w:after="100" w:afterAutospacing="1"/>
      <w:jc w:val="left"/>
    </w:pPr>
    <w:rPr>
      <w:rFonts w:ascii="宋体" w:hAnsi="宋体" w:eastAsia="宋体" w:cs="宋体"/>
      <w:kern w:val="0"/>
      <w:sz w:val="24"/>
    </w:rPr>
  </w:style>
  <w:style w:type="character" w:customStyle="1" w:styleId="10">
    <w:name w:val="标题 2 Char"/>
    <w:basedOn w:val="9"/>
    <w:link w:val="2"/>
    <w:qFormat/>
    <w:uiPriority w:val="0"/>
    <w:rPr>
      <w:rFonts w:ascii="Arial" w:hAnsi="Arial" w:eastAsia="黑体" w:cs="Times New Roman"/>
      <w:b/>
      <w:sz w:val="32"/>
      <w:szCs w:val="24"/>
    </w:rPr>
  </w:style>
  <w:style w:type="character" w:customStyle="1" w:styleId="11">
    <w:name w:val="正文文本 Char"/>
    <w:basedOn w:val="9"/>
    <w:link w:val="3"/>
    <w:semiHidden/>
    <w:uiPriority w:val="99"/>
    <w:rPr>
      <w:rFonts w:ascii="Times New Roman" w:hAnsi="Times New Roman" w:eastAsia="仿宋" w:cs="Times New Roman"/>
      <w:szCs w:val="24"/>
    </w:rPr>
  </w:style>
  <w:style w:type="character" w:customStyle="1" w:styleId="12">
    <w:name w:val="页眉 Char"/>
    <w:basedOn w:val="9"/>
    <w:link w:val="6"/>
    <w:semiHidden/>
    <w:uiPriority w:val="99"/>
    <w:rPr>
      <w:rFonts w:ascii="Times New Roman" w:hAnsi="Times New Roman" w:eastAsia="仿宋" w:cs="Times New Roman"/>
      <w:sz w:val="18"/>
      <w:szCs w:val="18"/>
    </w:rPr>
  </w:style>
  <w:style w:type="character" w:customStyle="1" w:styleId="13">
    <w:name w:val="页脚 Char"/>
    <w:basedOn w:val="9"/>
    <w:link w:val="5"/>
    <w:semiHidden/>
    <w:uiPriority w:val="99"/>
    <w:rPr>
      <w:rFonts w:ascii="Times New Roman" w:hAnsi="Times New Roman" w:eastAsia="仿宋" w:cs="Times New Roman"/>
      <w:sz w:val="18"/>
      <w:szCs w:val="18"/>
    </w:rPr>
  </w:style>
  <w:style w:type="character" w:customStyle="1" w:styleId="14">
    <w:name w:val="日期 Char"/>
    <w:basedOn w:val="9"/>
    <w:link w:val="4"/>
    <w:uiPriority w:val="0"/>
    <w:rPr>
      <w:rFonts w:ascii="Calibri" w:hAnsi="Calibri" w:eastAsia="宋体" w:cs="Times New Roman"/>
      <w:szCs w:val="24"/>
    </w:rPr>
  </w:style>
  <w:style w:type="paragraph" w:customStyle="1" w:styleId="15">
    <w:name w:val="UserStyle_0"/>
    <w:uiPriority w:val="0"/>
    <w:pPr>
      <w:widowControl w:val="0"/>
      <w:ind w:left="840" w:hanging="420"/>
      <w:jc w:val="both"/>
      <w:textAlignment w:val="baseline"/>
    </w:pPr>
    <w:rPr>
      <w:rFonts w:ascii="Times New Roman" w:hAnsi="Times New Roman" w:eastAsia="仿宋" w:cs="Times New Roman"/>
      <w:kern w:val="2"/>
      <w:sz w:val="21"/>
      <w:szCs w:val="24"/>
      <w:lang w:val="en-US" w:eastAsia="zh-CN" w:bidi="ar-SA"/>
    </w:rPr>
  </w:style>
  <w:style w:type="paragraph" w:customStyle="1" w:styleId="16">
    <w:name w:val="List2"/>
    <w:qFormat/>
    <w:uiPriority w:val="0"/>
    <w:pPr>
      <w:widowControl w:val="0"/>
      <w:ind w:left="840" w:hanging="420"/>
      <w:jc w:val="both"/>
    </w:pPr>
    <w:rPr>
      <w:rFonts w:ascii="Times New Roman" w:hAnsi="Times New Roman" w:eastAsia="仿宋"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3073"/>
    <customShpInfo spid="_x0000_s307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17300</Words>
  <Characters>17877</Characters>
  <Lines>137</Lines>
  <Paragraphs>38</Paragraphs>
  <TotalTime>4</TotalTime>
  <ScaleCrop>false</ScaleCrop>
  <LinksUpToDate>false</LinksUpToDate>
  <CharactersWithSpaces>18687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2023-10-16T03:46:00Z</dcterms:created>
  <dc:creator>Administrator</dc:creator>
  <cp:lastModifiedBy>Administrator</cp:lastModifiedBy>
  <dcterms:modified xsi:type="dcterms:W3CDTF">2026-10-15T05:56:16Z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eyJoZGlkIjoiZjBkNmM2YTEyN2YzZTdhZTZmNTEzYjc2ZDY5ZjUyNWMifQ==</vt:lpwstr>
  </property>
  <property fmtid="{D5CDD505-2E9C-101B-9397-08002B2CF9AE}" pid="3" name="KSOProductBuildVer">
    <vt:lpwstr>2052-12.1.0.28505</vt:lpwstr>
  </property>
  <property fmtid="{D5CDD505-2E9C-101B-9397-08002B2CF9AE}" pid="4" name="ICV">
    <vt:lpwstr>CBE9F327934C45E0A146CF05A383D1B8_12</vt:lpwstr>
  </property>
</Properties>
</file>